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Asset-Based Medical Planning Decision Matrix</w:t>
      </w:r>
    </w:p>
    <w:p>
      <w:pPr>
        <w:pStyle w:val="Subtitle"/>
      </w:pPr>
      <w:r>
        <w:t xml:space="preserve">CTV / SOV / jack-up buyer and HSE worksheet</w:t>
      </w:r>
    </w:p>
    <w:p>
      <w:pPr>
        <w:pStyle w:val="Author"/>
      </w:pPr>
      <w:r>
        <w:t xml:space="preserve">Alvyri Crew</w:t>
      </w:r>
    </w:p>
    <w:p>
      <w:pPr>
        <w:pStyle w:val="Date"/>
      </w:pPr>
      <w:r>
        <w:t xml:space="preserve">Draft — July 2026</w:t>
      </w:r>
    </w:p>
    <w:bookmarkStart w:id="10" w:name="Xa44f4db434f5f27d98767d5881b97273ce12a96"/>
    <w:p>
      <w:pPr>
        <w:pStyle w:val="Heading1"/>
      </w:pPr>
      <w:r>
        <w:t xml:space="preserve">Asset-Based Medical Planning Decision Matrix</w:t>
      </w:r>
    </w:p>
    <w:bookmarkStart w:id="9" w:name="ctv-sov-jack-up-buyer-and-hse-worksheet"/>
    <w:p>
      <w:pPr>
        <w:pStyle w:val="Heading2"/>
      </w:pPr>
      <w:r>
        <w:t xml:space="preserve">CTV / SOV / jack-up buyer and HSE worksheet</w:t>
      </w:r>
    </w:p>
    <w:p>
      <w:pPr>
        <w:pStyle w:val="FirstParagraph"/>
      </w:pPr>
      <w:r>
        <w:rPr>
          <w:b/>
          <w:bCs/>
        </w:rPr>
        <w:t xml:space="preserve">Project / campaign:</w:t>
      </w:r>
      <w:r>
        <w:t xml:space="preserve"> </w:t>
      </w:r>
      <w:r>
        <w:t xml:space="preserve">[PROJECT]</w:t>
      </w:r>
    </w:p>
    <w:p>
      <w:pPr>
        <w:pStyle w:val="BodyText"/>
      </w:pPr>
      <w:r>
        <w:rPr>
          <w:b/>
          <w:bCs/>
        </w:rPr>
        <w:t xml:space="preserve">Jurisdiction(s), flag(s) and asset(s):</w:t>
      </w:r>
      <w:r>
        <w:t xml:space="preserve"> </w:t>
      </w:r>
      <w:r>
        <w:t xml:space="preserve">[DETAILS]</w:t>
      </w:r>
    </w:p>
    <w:p>
      <w:pPr>
        <w:pStyle w:val="BodyText"/>
      </w:pPr>
      <w:r>
        <w:rPr>
          <w:b/>
          <w:bCs/>
        </w:rPr>
        <w:t xml:space="preserve">Project phase and work scope:</w:t>
      </w:r>
      <w:r>
        <w:t xml:space="preserve"> </w:t>
      </w:r>
      <w:r>
        <w:t xml:space="preserve">[DETAILS]</w:t>
      </w:r>
    </w:p>
    <w:p>
      <w:pPr>
        <w:pStyle w:val="BodyText"/>
      </w:pPr>
      <w:r>
        <w:rPr>
          <w:b/>
          <w:bCs/>
        </w:rPr>
        <w:t xml:space="preserve">Assessment owner:</w:t>
      </w:r>
      <w:r>
        <w:t xml:space="preserve"> </w:t>
      </w:r>
      <w:r>
        <w:t xml:space="preserve">[NAME AND ROLE]</w:t>
      </w:r>
    </w:p>
    <w:p>
      <w:pPr>
        <w:pStyle w:val="BodyText"/>
      </w:pPr>
      <w:r>
        <w:rPr>
          <w:b/>
          <w:bCs/>
        </w:rPr>
        <w:t xml:space="preserve">Review date:</w:t>
      </w:r>
      <w:r>
        <w:t xml:space="preserve"> </w:t>
      </w:r>
      <w:r>
        <w:t xml:space="preserve">[DATE]</w:t>
      </w:r>
    </w:p>
    <w:p>
      <w:pPr>
        <w:pStyle w:val="BlockText"/>
      </w:pPr>
      <w:r>
        <w:t xml:space="preserve">Use this worksheet to structure an operation-specific first-aid and emergency-response assessment. Asset type is a prompt, not a staffing rule. Verify applicable legal, flag-state, coastal-state, healthcare, medicines, labour and health-and-safety requirements. This is not legal, regulatory or clinical advice.</w:t>
      </w:r>
    </w:p>
    <w:bookmarkEnd w:id="9"/>
    <w:bookmarkEnd w:id="10"/>
    <w:bookmarkStart w:id="11" w:name="assumptions-that-must-be-evidenced"/>
    <w:p>
      <w:pPr>
        <w:pStyle w:val="Heading1"/>
      </w:pPr>
      <w:r>
        <w:t xml:space="preserve">1. Assumptions that must be evidenced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Dimension</w:t>
            </w:r>
          </w:p>
        </w:tc>
        <w:tc>
          <w:tcPr/>
          <w:p>
            <w:pPr>
              <w:pStyle w:val="Compact"/>
            </w:pPr>
            <w:r>
              <w:t xml:space="preserve">CTV</w:t>
            </w:r>
          </w:p>
        </w:tc>
        <w:tc>
          <w:tcPr/>
          <w:p>
            <w:pPr>
              <w:pStyle w:val="Compact"/>
            </w:pPr>
            <w:r>
              <w:t xml:space="preserve">SOV</w:t>
            </w:r>
          </w:p>
        </w:tc>
        <w:tc>
          <w:tcPr/>
          <w:p>
            <w:pPr>
              <w:pStyle w:val="Compact"/>
            </w:pPr>
            <w:r>
              <w:t xml:space="preserve">Jack-up</w:t>
            </w:r>
          </w:p>
        </w:tc>
        <w:tc>
          <w:tcPr/>
          <w:p>
            <w:pPr>
              <w:pStyle w:val="Compact"/>
            </w:pPr>
            <w:r>
              <w:t xml:space="preserve">Evidence / source</w:t>
            </w:r>
          </w:p>
        </w:tc>
        <w:tc>
          <w:tcPr/>
          <w:p>
            <w:pPr>
              <w:pStyle w:val="Compact"/>
            </w:pPr>
            <w:r>
              <w:t xml:space="preserve">Gap / action owner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People on board / at work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area and distance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Project phase and work fronts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Day / night and shift pattern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Weather and transfer limits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Realistic time to definitive care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Primary and alternative evacuation routes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External rescue dependencies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</w:tbl>
    <w:bookmarkEnd w:id="11"/>
    <w:bookmarkStart w:id="12" w:name="asset-comparison-prompts"/>
    <w:p>
      <w:pPr>
        <w:pStyle w:val="Heading1"/>
      </w:pPr>
      <w:r>
        <w:t xml:space="preserve">2. Asset comparison prompts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Planning dimension</w:t>
            </w:r>
          </w:p>
        </w:tc>
        <w:tc>
          <w:tcPr/>
          <w:p>
            <w:pPr>
              <w:pStyle w:val="Compact"/>
            </w:pPr>
            <w:r>
              <w:t xml:space="preserve">CTV prompt</w:t>
            </w:r>
          </w:p>
        </w:tc>
        <w:tc>
          <w:tcPr/>
          <w:p>
            <w:pPr>
              <w:pStyle w:val="Compact"/>
            </w:pPr>
            <w:r>
              <w:t xml:space="preserve">SOV prompt</w:t>
            </w:r>
          </w:p>
        </w:tc>
        <w:tc>
          <w:tcPr/>
          <w:p>
            <w:pPr>
              <w:pStyle w:val="Compact"/>
            </w:pPr>
            <w:r>
              <w:t xml:space="preserve">Jack-up prompt</w:t>
            </w:r>
          </w:p>
        </w:tc>
      </w:tr>
      <w:tr>
        <w:tc>
          <w:tcPr/>
          <w:p>
            <w:pPr>
              <w:pStyle w:val="Compact"/>
            </w:pPr>
            <w:r>
              <w:t xml:space="preserve">Typical pathway</w:t>
            </w:r>
          </w:p>
        </w:tc>
        <w:tc>
          <w:tcPr/>
          <w:p>
            <w:pPr>
              <w:pStyle w:val="Compact"/>
            </w:pPr>
            <w:r>
              <w:t xml:space="preserve">Transit or turbine → vessel → port, ambulance or rescue asset</w:t>
            </w:r>
          </w:p>
        </w:tc>
        <w:tc>
          <w:tcPr/>
          <w:p>
            <w:pPr>
              <w:pStyle w:val="Compact"/>
            </w:pPr>
            <w:r>
              <w:t xml:space="preserve">Vessel or turbine → retrieval → on-board care → shore or rescue asset</w:t>
            </w:r>
          </w:p>
        </w:tc>
        <w:tc>
          <w:tcPr/>
          <w:p>
            <w:pPr>
              <w:pStyle w:val="Compact"/>
            </w:pPr>
            <w:r>
              <w:t xml:space="preserve">Worksite → vertical/horizontal recovery → treatment area → marine or aviation evacuation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Planning pressure</w:t>
            </w:r>
          </w:p>
        </w:tc>
        <w:tc>
          <w:tcPr/>
          <w:p>
            <w:pPr>
              <w:pStyle w:val="Compact"/>
            </w:pPr>
            <w:r>
              <w:t xml:space="preserve">Small platform, motion, repeated transfers and variable return time</w:t>
            </w:r>
          </w:p>
        </w:tc>
        <w:tc>
          <w:tcPr/>
          <w:p>
            <w:pPr>
              <w:pStyle w:val="Compact"/>
            </w:pPr>
            <w:r>
              <w:t xml:space="preserve">Longer offshore continuity and split vessel/turbine response</w:t>
            </w:r>
          </w:p>
        </w:tc>
        <w:tc>
          <w:tcPr/>
          <w:p>
            <w:pPr>
              <w:pStyle w:val="Compact"/>
            </w:pPr>
            <w:r>
              <w:t xml:space="preserve">Project-phase hazards, personnel concentration and constrained movement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First response</w:t>
            </w:r>
          </w:p>
        </w:tc>
        <w:tc>
          <w:tcPr/>
          <w:p>
            <w:pPr>
              <w:pStyle w:val="Compact"/>
            </w:pPr>
            <w:r>
              <w:t xml:space="preserve">Is competent coverage and kit available on every leg?</w:t>
            </w:r>
          </w:p>
        </w:tc>
        <w:tc>
          <w:tcPr/>
          <w:p>
            <w:pPr>
              <w:pStyle w:val="Compact"/>
            </w:pPr>
            <w:r>
              <w:t xml:space="preserve">Are shifts, locations and handovers covered?</w:t>
            </w:r>
          </w:p>
        </w:tc>
        <w:tc>
          <w:tcPr/>
          <w:p>
            <w:pPr>
              <w:pStyle w:val="Compact"/>
            </w:pPr>
            <w:r>
              <w:t xml:space="preserve">Are all work fronts and multiple-casualty scenarios covered?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Remote clinical support</w:t>
            </w:r>
          </w:p>
        </w:tc>
        <w:tc>
          <w:tcPr/>
          <w:p>
            <w:pPr>
              <w:pStyle w:val="Compact"/>
            </w:pPr>
            <w:r>
              <w:t xml:space="preserve">Does voice fallback work, and is advice aligned with the compact inventory?</w:t>
            </w:r>
          </w:p>
        </w:tc>
        <w:tc>
          <w:tcPr/>
          <w:p>
            <w:pPr>
              <w:pStyle w:val="Compact"/>
            </w:pPr>
            <w:r>
              <w:t xml:space="preserve">Can the service support continuity, reassessment and an on-board medic if present?</w:t>
            </w:r>
          </w:p>
        </w:tc>
        <w:tc>
          <w:tcPr/>
          <w:p>
            <w:pPr>
              <w:pStyle w:val="Compact"/>
            </w:pPr>
            <w:r>
              <w:t xml:space="preserve">Are communications tested across work areas and suitable for possible prolonged care?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Exercise priority</w:t>
            </w:r>
          </w:p>
        </w:tc>
        <w:tc>
          <w:tcPr/>
          <w:p>
            <w:pPr>
              <w:pStyle w:val="Compact"/>
            </w:pPr>
            <w:r>
              <w:t xml:space="preserve">Turbine recovery, stretcher transfer, poor connectivity and port handover</w:t>
            </w:r>
          </w:p>
        </w:tc>
        <w:tc>
          <w:tcPr/>
          <w:p>
            <w:pPr>
              <w:pStyle w:val="Compact"/>
            </w:pPr>
            <w:r>
              <w:t xml:space="preserve">Full turbine-to-vessel path, deterioration and onward evacuation</w:t>
            </w:r>
          </w:p>
        </w:tc>
        <w:tc>
          <w:tcPr/>
          <w:p>
            <w:pPr>
              <w:pStyle w:val="Compact"/>
            </w:pPr>
            <w:r>
              <w:t xml:space="preserve">Recovery from height or restricted areas, route loss and alternatives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Assumption to challenge</w:t>
            </w:r>
          </w:p>
        </w:tc>
        <w:tc>
          <w:tcPr/>
          <w:p>
            <w:pPr>
              <w:pStyle w:val="Compact"/>
            </w:pPr>
            <w:r>
              <w:t xml:space="preserve">“Near port means rapid definitive care”</w:t>
            </w:r>
          </w:p>
        </w:tc>
        <w:tc>
          <w:tcPr/>
          <w:p>
            <w:pPr>
              <w:pStyle w:val="Compact"/>
            </w:pPr>
            <w:r>
              <w:t xml:space="preserve">“Treatment space means clinical capability”</w:t>
            </w:r>
          </w:p>
        </w:tc>
        <w:tc>
          <w:tcPr/>
          <w:p>
            <w:pPr>
              <w:pStyle w:val="Compact"/>
            </w:pPr>
            <w:r>
              <w:t xml:space="preserve">“The label determines legal regime or staffing”</w:t>
            </w:r>
          </w:p>
        </w:tc>
      </w:tr>
    </w:tbl>
    <w:bookmarkEnd w:id="12"/>
    <w:bookmarkStart w:id="13" w:name="X9710d0d70e3acc95d14b1108c6a7561250af41d"/>
    <w:p>
      <w:pPr>
        <w:pStyle w:val="Heading1"/>
      </w:pPr>
      <w:r>
        <w:t xml:space="preserve">3. Credible scenario and casualty-pathway test</w:t>
      </w:r>
    </w:p>
    <w:p>
      <w:pPr>
        <w:pStyle w:val="FirstParagraph"/>
      </w:pPr>
      <w:r>
        <w:t xml:space="preserve">Complete one row per material scenario and location.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Scenario / casualty location</w:t>
            </w:r>
          </w:p>
        </w:tc>
        <w:tc>
          <w:tcPr/>
          <w:p>
            <w:pPr>
              <w:pStyle w:val="Compact"/>
            </w:pPr>
            <w:r>
              <w:t xml:space="preserve">Immediate responder</w:t>
            </w:r>
          </w:p>
        </w:tc>
        <w:tc>
          <w:tcPr/>
          <w:p>
            <w:pPr>
              <w:pStyle w:val="Compact"/>
            </w:pPr>
            <w:r>
              <w:t xml:space="preserve">Competence / scope</w:t>
            </w:r>
          </w:p>
        </w:tc>
        <w:tc>
          <w:tcPr/>
          <w:p>
            <w:pPr>
              <w:pStyle w:val="Compact"/>
            </w:pPr>
            <w:r>
              <w:t xml:space="preserve">Equipment reachable</w:t>
            </w:r>
          </w:p>
        </w:tc>
        <w:tc>
          <w:tcPr/>
          <w:p>
            <w:pPr>
              <w:pStyle w:val="Compact"/>
            </w:pPr>
            <w:r>
              <w:t xml:space="preserve">Recovery route</w:t>
            </w:r>
          </w:p>
        </w:tc>
        <w:tc>
          <w:tcPr/>
          <w:p>
            <w:pPr>
              <w:pStyle w:val="Compact"/>
            </w:pPr>
            <w:r>
              <w:t xml:space="preserve">Clinical contact</w:t>
            </w:r>
          </w:p>
        </w:tc>
        <w:tc>
          <w:tcPr/>
          <w:p>
            <w:pPr>
              <w:pStyle w:val="Compact"/>
            </w:pPr>
            <w:r>
              <w:t xml:space="preserve">External escalation</w:t>
            </w:r>
          </w:p>
        </w:tc>
        <w:tc>
          <w:tcPr/>
          <w:p>
            <w:pPr>
              <w:pStyle w:val="Compact"/>
            </w:pPr>
            <w:r>
              <w:t xml:space="preserve">Time assumption</w:t>
            </w:r>
          </w:p>
        </w:tc>
        <w:tc>
          <w:tcPr/>
          <w:p>
            <w:pPr>
              <w:pStyle w:val="Compact"/>
            </w:pPr>
            <w:r>
              <w:t xml:space="preserve">Gap / owner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</w:tbl>
    <w:bookmarkEnd w:id="13"/>
    <w:bookmarkStart w:id="14" w:name="coverage-model-decision-record"/>
    <w:p>
      <w:pPr>
        <w:pStyle w:val="Heading1"/>
      </w:pPr>
      <w:r>
        <w:t xml:space="preserve">4. Coverage-model decision record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Decision</w:t>
            </w:r>
          </w:p>
        </w:tc>
        <w:tc>
          <w:tcPr/>
          <w:p>
            <w:pPr>
              <w:pStyle w:val="Compact"/>
            </w:pPr>
            <w:r>
              <w:t xml:space="preserve">CTV</w:t>
            </w:r>
          </w:p>
        </w:tc>
        <w:tc>
          <w:tcPr/>
          <w:p>
            <w:pPr>
              <w:pStyle w:val="Compact"/>
            </w:pPr>
            <w:r>
              <w:t xml:space="preserve">SOV</w:t>
            </w:r>
          </w:p>
        </w:tc>
        <w:tc>
          <w:tcPr/>
          <w:p>
            <w:pPr>
              <w:pStyle w:val="Compact"/>
            </w:pPr>
            <w:r>
              <w:t xml:space="preserve">Jack-up</w:t>
            </w:r>
          </w:p>
        </w:tc>
        <w:tc>
          <w:tcPr/>
          <w:p>
            <w:pPr>
              <w:pStyle w:val="Compact"/>
            </w:pPr>
            <w:r>
              <w:t xml:space="preserve">Rationale and evidence</w:t>
            </w:r>
          </w:p>
        </w:tc>
        <w:tc>
          <w:tcPr/>
          <w:p>
            <w:pPr>
              <w:pStyle w:val="Compact"/>
            </w:pPr>
            <w:r>
              <w:t xml:space="preserve">Approval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Trained first-aid coverage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Enhanced first-aid capability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24/7 remote clinical support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On-site medic / paramedic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Remote physician behind medic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Treatment space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Monitoring and medical equipment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Medicines and governance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Multiple-casualty provision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</w:tbl>
    <w:p>
      <w:pPr>
        <w:pStyle w:val="BodyText"/>
      </w:pPr>
      <w:r>
        <w:rPr>
          <w:b/>
          <w:bCs/>
        </w:rPr>
        <w:t xml:space="preserve">Decision boundary:</w:t>
      </w:r>
      <w:r>
        <w:t xml:space="preserve"> </w:t>
      </w:r>
      <w:r>
        <w:t xml:space="preserve">[STATE WHO PROVIDES CLINICAL ADVICE AND WHO RETAINS OPERATIONAL / EVACUATION AUTHORITY]</w:t>
      </w:r>
    </w:p>
    <w:bookmarkEnd w:id="14"/>
    <w:bookmarkStart w:id="15" w:name="communications-and-clinical-interface"/>
    <w:p>
      <w:pPr>
        <w:pStyle w:val="Heading1"/>
      </w:pPr>
      <w:r>
        <w:t xml:space="preserve">5. Communications and clinical interface</w:t>
      </w:r>
    </w:p>
    <w:p>
      <w:pPr>
        <w:pStyle w:val="Compact"/>
        <w:numPr>
          <w:ilvl w:val="0"/>
          <w:numId w:val="1001"/>
        </w:numPr>
      </w:pPr>
      <w:r>
        <w:t xml:space="preserve">Primary and fallback voice routes are tested from each casualty location.</w:t>
      </w:r>
    </w:p>
    <w:p>
      <w:pPr>
        <w:pStyle w:val="Compact"/>
        <w:numPr>
          <w:ilvl w:val="0"/>
          <w:numId w:val="1002"/>
        </w:numPr>
      </w:pPr>
      <w:r>
        <w:t xml:space="preserve">Video or data is supplementary unless its availability is evidenced.</w:t>
      </w:r>
    </w:p>
    <w:p>
      <w:pPr>
        <w:pStyle w:val="Compact"/>
        <w:numPr>
          <w:ilvl w:val="0"/>
          <w:numId w:val="1003"/>
        </w:numPr>
      </w:pPr>
      <w:r>
        <w:t xml:space="preserve">The remote service knows responder competence, equipment and medicine inventories.</w:t>
      </w:r>
    </w:p>
    <w:p>
      <w:pPr>
        <w:pStyle w:val="Compact"/>
        <w:numPr>
          <w:ilvl w:val="0"/>
          <w:numId w:val="1004"/>
        </w:numPr>
      </w:pPr>
      <w:r>
        <w:t xml:space="preserve">The contracted clinician grade and connection-time measure are explicit.</w:t>
      </w:r>
    </w:p>
    <w:p>
      <w:pPr>
        <w:pStyle w:val="Compact"/>
        <w:numPr>
          <w:ilvl w:val="0"/>
          <w:numId w:val="1005"/>
        </w:numPr>
      </w:pPr>
      <w:r>
        <w:t xml:space="preserve">Emergency escalation can proceed while clinical assessment continues.</w:t>
      </w:r>
    </w:p>
    <w:p>
      <w:pPr>
        <w:pStyle w:val="Compact"/>
        <w:numPr>
          <w:ilvl w:val="0"/>
          <w:numId w:val="1006"/>
        </w:numPr>
      </w:pPr>
      <w:r>
        <w:t xml:space="preserve">Flag-state TMAS and rescue-coordination interfaces are mapped where applicable.</w:t>
      </w:r>
    </w:p>
    <w:p>
      <w:pPr>
        <w:pStyle w:val="Compact"/>
        <w:numPr>
          <w:ilvl w:val="0"/>
          <w:numId w:val="1007"/>
        </w:numPr>
      </w:pPr>
      <w:r>
        <w:t xml:space="preserve">Active-case handover, records, reassessment and communications loss are covered.</w:t>
      </w:r>
    </w:p>
    <w:p>
      <w:pPr>
        <w:pStyle w:val="Compact"/>
        <w:numPr>
          <w:ilvl w:val="0"/>
          <w:numId w:val="1008"/>
        </w:numPr>
      </w:pPr>
      <w:r>
        <w:t xml:space="preserve">Remote advice is not presented as a substitute for necessary examination, testing, hands-on care or evacuation.</w:t>
      </w:r>
    </w:p>
    <w:bookmarkEnd w:id="15"/>
    <w:bookmarkStart w:id="16" w:name="end-to-end-exercise-record"/>
    <w:p>
      <w:pPr>
        <w:pStyle w:val="Heading1"/>
      </w:pPr>
      <w:r>
        <w:t xml:space="preserve">6. End-to-end exercise record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Exercise element</w:t>
            </w:r>
          </w:p>
        </w:tc>
        <w:tc>
          <w:tcPr/>
          <w:p>
            <w:pPr>
              <w:pStyle w:val="Compact"/>
            </w:pPr>
            <w:r>
              <w:t xml:space="preserve">Observed time / result</w:t>
            </w:r>
          </w:p>
        </w:tc>
        <w:tc>
          <w:tcPr/>
          <w:p>
            <w:pPr>
              <w:pStyle w:val="Compact"/>
            </w:pPr>
            <w:r>
              <w:t xml:space="preserve">Failure or obstacle</w:t>
            </w:r>
          </w:p>
        </w:tc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Due</w:t>
            </w:r>
          </w:p>
        </w:tc>
        <w:tc>
          <w:tcPr/>
          <w:p>
            <w:pPr>
              <w:pStyle w:val="Compact"/>
            </w:pPr>
            <w:r>
              <w:t xml:space="preserve">Closed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Casualty discovered and first response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Clinical contact established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Casualty packaged and moved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External response activated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Handover completed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Fallback route demonstrated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</w:tbl>
    <w:bookmarkEnd w:id="16"/>
    <w:bookmarkStart w:id="17" w:name="review-triggers"/>
    <w:p>
      <w:pPr>
        <w:pStyle w:val="Heading1"/>
      </w:pPr>
      <w:r>
        <w:t xml:space="preserve">7. Review triggers</w:t>
      </w:r>
    </w:p>
    <w:p>
      <w:pPr>
        <w:pStyle w:val="Compact"/>
        <w:numPr>
          <w:ilvl w:val="0"/>
          <w:numId w:val="1009"/>
        </w:numPr>
      </w:pPr>
      <w:r>
        <w:t xml:space="preserve">Asset, vessel, flag or jurisdiction changes.</w:t>
      </w:r>
    </w:p>
    <w:p>
      <w:pPr>
        <w:pStyle w:val="Compact"/>
        <w:numPr>
          <w:ilvl w:val="0"/>
          <w:numId w:val="1010"/>
        </w:numPr>
      </w:pPr>
      <w:r>
        <w:t xml:space="preserve">Project phase, work scope, headcount or shift pattern changes.</w:t>
      </w:r>
    </w:p>
    <w:p>
      <w:pPr>
        <w:pStyle w:val="Compact"/>
        <w:numPr>
          <w:ilvl w:val="0"/>
          <w:numId w:val="1011"/>
        </w:numPr>
      </w:pPr>
      <w:r>
        <w:t xml:space="preserve">Port, hospital, rescue asset or transfer method changes.</w:t>
      </w:r>
    </w:p>
    <w:p>
      <w:pPr>
        <w:pStyle w:val="Compact"/>
        <w:numPr>
          <w:ilvl w:val="0"/>
          <w:numId w:val="1012"/>
        </w:numPr>
      </w:pPr>
      <w:r>
        <w:t xml:space="preserve">Equipment, medicines, responder competence or clinical provider changes.</w:t>
      </w:r>
    </w:p>
    <w:p>
      <w:pPr>
        <w:pStyle w:val="Compact"/>
        <w:numPr>
          <w:ilvl w:val="0"/>
          <w:numId w:val="1013"/>
        </w:numPr>
      </w:pPr>
      <w:r>
        <w:t xml:space="preserve">Seasonal or weather assumptions materially change.</w:t>
      </w:r>
    </w:p>
    <w:p>
      <w:pPr>
        <w:pStyle w:val="Compact"/>
        <w:numPr>
          <w:ilvl w:val="0"/>
          <w:numId w:val="1014"/>
        </w:numPr>
      </w:pPr>
      <w:r>
        <w:t xml:space="preserve">Exercise, case review or incident identifies a gap.</w:t>
      </w:r>
    </w:p>
    <w:bookmarkEnd w:id="17"/>
    <w:bookmarkStart w:id="26" w:name="source-framework"/>
    <w:p>
      <w:pPr>
        <w:pStyle w:val="Heading1"/>
      </w:pPr>
      <w:r>
        <w:t xml:space="preserve">Source framework</w:t>
      </w:r>
    </w:p>
    <w:p>
      <w:pPr>
        <w:pStyle w:val="FirstParagraph"/>
      </w:pPr>
      <w:r>
        <w:t xml:space="preserve">Verify current versions and applicability before use.</w:t>
      </w:r>
    </w:p>
    <w:p>
      <w:pPr>
        <w:pStyle w:val="Compact"/>
        <w:numPr>
          <w:ilvl w:val="0"/>
          <w:numId w:val="1015"/>
        </w:numPr>
      </w:pPr>
      <w:r>
        <w:t xml:space="preserve">G+ Offshore Wind,</w:t>
      </w:r>
      <w:r>
        <w:t xml:space="preserve"> </w:t>
      </w:r>
      <w:r>
        <w:rPr>
          <w:i/>
          <w:iCs/>
        </w:rPr>
        <w:t xml:space="preserve">Integrated Offshore Emergency Response</w:t>
      </w:r>
      <w:r>
        <w:t xml:space="preserve">:</w:t>
      </w:r>
      <w:r>
        <w:t xml:space="preserve"> </w:t>
      </w:r>
      <w:hyperlink r:id="rId18">
        <w:r>
          <w:rPr>
            <w:rStyle w:val="Hyperlink"/>
          </w:rPr>
          <w:t xml:space="preserve">https://www.gplusoffshorewind.com/__data/assets/pdf_file/0008/671399/G-integrated-offshore-emergency-response-G-IOER.pdf</w:t>
        </w:r>
      </w:hyperlink>
    </w:p>
    <w:p>
      <w:pPr>
        <w:pStyle w:val="Compact"/>
        <w:numPr>
          <w:ilvl w:val="0"/>
          <w:numId w:val="1015"/>
        </w:numPr>
      </w:pPr>
      <w:r>
        <w:t xml:space="preserve">G+ Offshore Wind,</w:t>
      </w:r>
      <w:r>
        <w:t xml:space="preserve"> </w:t>
      </w:r>
      <w:r>
        <w:rPr>
          <w:i/>
          <w:iCs/>
        </w:rPr>
        <w:t xml:space="preserve">Offshore Wind Farm Transfer</w:t>
      </w:r>
      <w:r>
        <w:t xml:space="preserve">:</w:t>
      </w:r>
      <w:r>
        <w:t xml:space="preserve"> </w:t>
      </w:r>
      <w:hyperlink r:id="rId19">
        <w:r>
          <w:rPr>
            <w:rStyle w:val="Hyperlink"/>
          </w:rPr>
          <w:t xml:space="preserve">https://www.gplusoffshorewind.com/__data/assets/pdf_file/0008/763523/Good-practice-guidelines-Offshore-wind-farm-transfer-final.pdf</w:t>
        </w:r>
      </w:hyperlink>
    </w:p>
    <w:p>
      <w:pPr>
        <w:pStyle w:val="Compact"/>
        <w:numPr>
          <w:ilvl w:val="0"/>
          <w:numId w:val="1015"/>
        </w:numPr>
      </w:pPr>
      <w:r>
        <w:t xml:space="preserve">UK Maritime and Coastguard Agency,</w:t>
      </w:r>
      <w:r>
        <w:t xml:space="preserve"> </w:t>
      </w:r>
      <w:r>
        <w:rPr>
          <w:i/>
          <w:iCs/>
        </w:rPr>
        <w:t xml:space="preserve">Workboat Code Edition 3</w:t>
      </w:r>
      <w:r>
        <w:t xml:space="preserve">:</w:t>
      </w:r>
      <w:r>
        <w:t xml:space="preserve"> </w:t>
      </w:r>
      <w:hyperlink r:id="rId20">
        <w:r>
          <w:rPr>
            <w:rStyle w:val="Hyperlink"/>
          </w:rPr>
          <w:t xml:space="preserve">https://www.gov.uk/government/publications/the-workboat-code-edition-3</w:t>
        </w:r>
      </w:hyperlink>
    </w:p>
    <w:p>
      <w:pPr>
        <w:pStyle w:val="Compact"/>
        <w:numPr>
          <w:ilvl w:val="0"/>
          <w:numId w:val="1015"/>
        </w:numPr>
      </w:pPr>
      <w:r>
        <w:t xml:space="preserve">UK Maritime and Coastguard Agency,</w:t>
      </w:r>
      <w:r>
        <w:t xml:space="preserve"> </w:t>
      </w:r>
      <w:r>
        <w:rPr>
          <w:i/>
          <w:iCs/>
        </w:rPr>
        <w:t xml:space="preserve">Offshore renewable energy installations — emergency response planning</w:t>
      </w:r>
      <w:r>
        <w:t xml:space="preserve">:</w:t>
      </w:r>
      <w:r>
        <w:t xml:space="preserve"> </w:t>
      </w:r>
      <w:hyperlink r:id="rId21">
        <w:r>
          <w:rPr>
            <w:rStyle w:val="Hyperlink"/>
          </w:rPr>
          <w:t xml:space="preserve">https://www.gov.uk/government/publications/offshore-renewable-energy-installations-orei</w:t>
        </w:r>
      </w:hyperlink>
    </w:p>
    <w:p>
      <w:pPr>
        <w:pStyle w:val="Compact"/>
        <w:numPr>
          <w:ilvl w:val="0"/>
          <w:numId w:val="1015"/>
        </w:numPr>
      </w:pPr>
      <w:r>
        <w:t xml:space="preserve">UK Maritime and Coastguard Agency,</w:t>
      </w:r>
      <w:r>
        <w:t xml:space="preserve"> </w:t>
      </w:r>
      <w:r>
        <w:rPr>
          <w:i/>
          <w:iCs/>
        </w:rPr>
        <w:t xml:space="preserve">MGN 654 — OREI safety response</w:t>
      </w:r>
      <w:r>
        <w:t xml:space="preserve">:</w:t>
      </w:r>
      <w:r>
        <w:t xml:space="preserve"> </w:t>
      </w:r>
      <w:hyperlink r:id="rId22">
        <w:r>
          <w:rPr>
            <w:rStyle w:val="Hyperlink"/>
          </w:rPr>
          <w:t xml:space="preserve">https://www.gov.uk/government/publications/mgn-654-mf-offshore-renewable-energy-installations-orei-safety-response</w:t>
        </w:r>
      </w:hyperlink>
    </w:p>
    <w:p>
      <w:pPr>
        <w:pStyle w:val="Compact"/>
        <w:numPr>
          <w:ilvl w:val="0"/>
          <w:numId w:val="1015"/>
        </w:numPr>
      </w:pPr>
      <w:r>
        <w:t xml:space="preserve">International Maritime Organization,</w:t>
      </w:r>
      <w:r>
        <w:t xml:space="preserve"> </w:t>
      </w:r>
      <w:r>
        <w:rPr>
          <w:i/>
          <w:iCs/>
        </w:rPr>
        <w:t xml:space="preserve">2009 MODU Code</w:t>
      </w:r>
      <w:r>
        <w:t xml:space="preserve">:</w:t>
      </w:r>
      <w:r>
        <w:t xml:space="preserve"> </w:t>
      </w:r>
      <w:hyperlink r:id="rId23">
        <w:r>
          <w:rPr>
            <w:rStyle w:val="Hyperlink"/>
          </w:rPr>
          <w:t xml:space="preserve">https://wwwcdn.imo.org/localresources/en/KnowledgeCentre/IndexofIMOResolutions/AssemblyDocuments/A.1023%2826%29.pdf</w:t>
        </w:r>
      </w:hyperlink>
    </w:p>
    <w:p>
      <w:pPr>
        <w:pStyle w:val="Compact"/>
        <w:numPr>
          <w:ilvl w:val="0"/>
          <w:numId w:val="1015"/>
        </w:numPr>
      </w:pPr>
      <w:r>
        <w:t xml:space="preserve">Global Wind Organisation,</w:t>
      </w:r>
      <w:r>
        <w:t xml:space="preserve"> </w:t>
      </w:r>
      <w:r>
        <w:rPr>
          <w:i/>
          <w:iCs/>
        </w:rPr>
        <w:t xml:space="preserve">Enhanced First Aid Training Standard V6</w:t>
      </w:r>
      <w:r>
        <w:t xml:space="preserve">:</w:t>
      </w:r>
      <w:r>
        <w:t xml:space="preserve"> </w:t>
      </w:r>
      <w:hyperlink r:id="rId24">
        <w:r>
          <w:rPr>
            <w:rStyle w:val="Hyperlink"/>
          </w:rPr>
          <w:t xml:space="preserve">https://www.globalwindsafety.org/standards/enhanced-first-aid-training-standard</w:t>
        </w:r>
      </w:hyperlink>
    </w:p>
    <w:p>
      <w:pPr>
        <w:pStyle w:val="Compact"/>
        <w:numPr>
          <w:ilvl w:val="0"/>
          <w:numId w:val="1015"/>
        </w:numPr>
      </w:pPr>
      <w:r>
        <w:t xml:space="preserve">International Maritime Organization, MSC/Circ.960,</w:t>
      </w:r>
      <w:r>
        <w:t xml:space="preserve"> </w:t>
      </w:r>
      <w:r>
        <w:rPr>
          <w:i/>
          <w:iCs/>
        </w:rPr>
        <w:t xml:space="preserve">Medical Assistance at Sea</w:t>
      </w:r>
      <w:r>
        <w:t xml:space="preserve">:</w:t>
      </w:r>
      <w:r>
        <w:t xml:space="preserve"> </w:t>
      </w:r>
      <w:hyperlink r:id="rId25">
        <w:r>
          <w:rPr>
            <w:rStyle w:val="Hyperlink"/>
          </w:rPr>
          <w:t xml:space="preserve">https://wwwcdn.imo.org/localresources/en/OurWork/Safety/Documents/MSC.1-Circ.960%20-%20Medical%20Assistance%20At%20Sea.PDF</w:t>
        </w:r>
      </w:hyperlink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Document status:</w:t>
      </w:r>
      <w:r>
        <w:t xml:space="preserve"> </w:t>
      </w:r>
      <w:r>
        <w:t xml:space="preserve">Planning worksheet for adaptation. It does not determine compliance or prescribe staffing. No clinical outcome, response time or evacuation availability is guaranteed.</w:t>
      </w:r>
    </w:p>
    <w:bookmarkEnd w:id="2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2"/>
  </w:num>
  <w:num w:numId="1002">
    <w:abstractNumId w:val="992"/>
  </w:num>
  <w:num w:numId="1003">
    <w:abstractNumId w:val="992"/>
  </w:num>
  <w:num w:numId="1004">
    <w:abstractNumId w:val="992"/>
  </w:num>
  <w:num w:numId="1005">
    <w:abstractNumId w:val="992"/>
  </w:num>
  <w:num w:numId="1006">
    <w:abstractNumId w:val="992"/>
  </w:num>
  <w:num w:numId="1007">
    <w:abstractNumId w:val="992"/>
  </w:num>
  <w:num w:numId="1008">
    <w:abstractNumId w:val="992"/>
  </w:num>
  <w:num w:numId="1009">
    <w:abstractNumId w:val="992"/>
  </w:num>
  <w:num w:numId="1010">
    <w:abstractNumId w:val="992"/>
  </w:num>
  <w:num w:numId="1011">
    <w:abstractNumId w:val="992"/>
  </w:num>
  <w:num w:numId="1012">
    <w:abstractNumId w:val="992"/>
  </w:num>
  <w:num w:numId="1013">
    <w:abstractNumId w:val="992"/>
  </w:num>
  <w:num w:numId="1014">
    <w:abstractNumId w:val="992"/>
  </w:num>
  <w:num w:numId="101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GB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24" Target="https://www.globalwindsafety.org/standards/enhanced-first-aid-training-standard" TargetMode="External" /><Relationship Type="http://schemas.openxmlformats.org/officeDocument/2006/relationships/hyperlink" Id="rId22" Target="https://www.gov.uk/government/publications/mgn-654-mf-offshore-renewable-energy-installations-orei-safety-response" TargetMode="External" /><Relationship Type="http://schemas.openxmlformats.org/officeDocument/2006/relationships/hyperlink" Id="rId21" Target="https://www.gov.uk/government/publications/offshore-renewable-energy-installations-orei" TargetMode="External" /><Relationship Type="http://schemas.openxmlformats.org/officeDocument/2006/relationships/hyperlink" Id="rId20" Target="https://www.gov.uk/government/publications/the-workboat-code-edition-3" TargetMode="External" /><Relationship Type="http://schemas.openxmlformats.org/officeDocument/2006/relationships/hyperlink" Id="rId18" Target="https://www.gplusoffshorewind.com/__data/assets/pdf_file/0008/671399/G-integrated-offshore-emergency-response-G-IOER.pdf" TargetMode="External" /><Relationship Type="http://schemas.openxmlformats.org/officeDocument/2006/relationships/hyperlink" Id="rId19" Target="https://www.gplusoffshorewind.com/__data/assets/pdf_file/0008/763523/Good-practice-guidelines-Offshore-wind-farm-transfer-final.pdf" TargetMode="External" /><Relationship Type="http://schemas.openxmlformats.org/officeDocument/2006/relationships/hyperlink" Id="rId23" Target="https://wwwcdn.imo.org/localresources/en/KnowledgeCentre/IndexofIMOResolutions/AssemblyDocuments/A.1023%2826%29.pdf" TargetMode="External" /><Relationship Type="http://schemas.openxmlformats.org/officeDocument/2006/relationships/hyperlink" Id="rId25" Target="https://wwwcdn.imo.org/localresources/en/OurWork/Safety/Documents/MSC.1-Circ.960%20-%20Medical%20Assistance%20At%20Sea.PDF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www.globalwindsafety.org/standards/enhanced-first-aid-training-standard" TargetMode="External" /><Relationship Type="http://schemas.openxmlformats.org/officeDocument/2006/relationships/hyperlink" Id="rId22" Target="https://www.gov.uk/government/publications/mgn-654-mf-offshore-renewable-energy-installations-orei-safety-response" TargetMode="External" /><Relationship Type="http://schemas.openxmlformats.org/officeDocument/2006/relationships/hyperlink" Id="rId21" Target="https://www.gov.uk/government/publications/offshore-renewable-energy-installations-orei" TargetMode="External" /><Relationship Type="http://schemas.openxmlformats.org/officeDocument/2006/relationships/hyperlink" Id="rId20" Target="https://www.gov.uk/government/publications/the-workboat-code-edition-3" TargetMode="External" /><Relationship Type="http://schemas.openxmlformats.org/officeDocument/2006/relationships/hyperlink" Id="rId18" Target="https://www.gplusoffshorewind.com/__data/assets/pdf_file/0008/671399/G-integrated-offshore-emergency-response-G-IOER.pdf" TargetMode="External" /><Relationship Type="http://schemas.openxmlformats.org/officeDocument/2006/relationships/hyperlink" Id="rId19" Target="https://www.gplusoffshorewind.com/__data/assets/pdf_file/0008/763523/Good-practice-guidelines-Offshore-wind-farm-transfer-final.pdf" TargetMode="External" /><Relationship Type="http://schemas.openxmlformats.org/officeDocument/2006/relationships/hyperlink" Id="rId23" Target="https://wwwcdn.imo.org/localresources/en/KnowledgeCentre/IndexofIMOResolutions/AssemblyDocuments/A.1023%2826%29.pdf" TargetMode="External" /><Relationship Type="http://schemas.openxmlformats.org/officeDocument/2006/relationships/hyperlink" Id="rId25" Target="https://wwwcdn.imo.org/localresources/en/OurWork/Safety/Documents/MSC.1-Circ.960%20-%20Medical%20Assistance%20At%20Sea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Asset-Based Medical Planning Decision Matrix</dc:title>
  <dc:creator>Alvyri Crew</dc:creator>
  <dc:language>en-GB</dc:language>
  <cp:keywords/>
  <dcterms:created xsi:type="dcterms:W3CDTF">2026-07-25T07:21:31Z</dcterms:created>
  <dcterms:modified xsi:type="dcterms:W3CDTF">2026-07-25T07:21:31Z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Draft — July 2026</vt:lpwstr>
  </property>
  <property fmtid="{D5CDD505-2E9C-101B-9397-08002B2CF9AE}" pid="3" name="subtitle">
    <vt:lpwstr>CTV / SOV / jack-up buyer and HSE worksheet</vt:lpwstr>
  </property>
</Properties>
</file>