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Offshore Telemedicine SLA Checklist</w:t>
      </w:r>
    </w:p>
    <w:p>
      <w:pPr>
        <w:pStyle w:val="Subtitle"/>
      </w:pPr>
      <w:r>
        <w:t xml:space="preserve">Buyer worksheet for offshore wind and maritime medical support</w:t>
      </w:r>
    </w:p>
    <w:p>
      <w:pPr>
        <w:pStyle w:val="Author"/>
      </w:pPr>
      <w:r>
        <w:t xml:space="preserve">Alvyri Crew</w:t>
      </w:r>
    </w:p>
    <w:p>
      <w:pPr>
        <w:pStyle w:val="Date"/>
      </w:pPr>
      <w:r>
        <w:t xml:space="preserve">Draft — July 2026</w:t>
      </w:r>
    </w:p>
    <w:bookmarkStart w:id="10" w:name="offshore-telemedicine-sla-checklist"/>
    <w:p>
      <w:pPr>
        <w:pStyle w:val="Heading1"/>
      </w:pPr>
      <w:r>
        <w:t xml:space="preserve">Offshore Telemedicine SLA Checklist</w:t>
      </w:r>
    </w:p>
    <w:bookmarkStart w:id="9" w:name="X303821f63a9b1de9a559781feca00e1c562b13a"/>
    <w:p>
      <w:pPr>
        <w:pStyle w:val="Heading2"/>
      </w:pPr>
      <w:r>
        <w:t xml:space="preserve">Buyer worksheet for offshore wind and maritime medical support</w:t>
      </w:r>
    </w:p>
    <w:p>
      <w:pPr>
        <w:pStyle w:val="FirstParagraph"/>
      </w:pPr>
      <w:r>
        <w:rPr>
          <w:b/>
          <w:bCs/>
        </w:rPr>
        <w:t xml:space="preserve">Buyer:</w:t>
      </w:r>
      <w:r>
        <w:t xml:space="preserve"> </w:t>
      </w:r>
      <w:r>
        <w:t xml:space="preserve">[LEGAL ENTITY]</w:t>
      </w:r>
    </w:p>
    <w:p>
      <w:pPr>
        <w:pStyle w:val="BodyText"/>
      </w:pPr>
      <w:r>
        <w:rPr>
          <w:b/>
          <w:bCs/>
        </w:rPr>
        <w:t xml:space="preserve">Project / fleet:</w:t>
      </w:r>
      <w:r>
        <w:t xml:space="preserve"> </w:t>
      </w:r>
      <w:r>
        <w:t xml:space="preserve">[PROJECT OR FLEET]</w:t>
      </w:r>
    </w:p>
    <w:p>
      <w:pPr>
        <w:pStyle w:val="BodyText"/>
      </w:pPr>
      <w:r>
        <w:rPr>
          <w:b/>
          <w:bCs/>
        </w:rPr>
        <w:t xml:space="preserve">Provider:</w:t>
      </w:r>
      <w:r>
        <w:t xml:space="preserve"> </w:t>
      </w:r>
      <w:r>
        <w:t xml:space="preserve">[PROVIDER]</w:t>
      </w:r>
    </w:p>
    <w:p>
      <w:pPr>
        <w:pStyle w:val="BodyText"/>
      </w:pPr>
      <w:r>
        <w:rPr>
          <w:b/>
          <w:bCs/>
        </w:rPr>
        <w:t xml:space="preserve">Contract reference:</w:t>
      </w:r>
      <w:r>
        <w:t xml:space="preserve"> </w:t>
      </w:r>
      <w:r>
        <w:t xml:space="preserve">[REFERENCE]</w:t>
      </w:r>
    </w:p>
    <w:p>
      <w:pPr>
        <w:pStyle w:val="BodyText"/>
      </w:pPr>
      <w:r>
        <w:rPr>
          <w:b/>
          <w:bCs/>
        </w:rPr>
        <w:t xml:space="preserve">Review owner:</w:t>
      </w:r>
      <w:r>
        <w:t xml:space="preserve"> </w:t>
      </w:r>
      <w:r>
        <w:t xml:space="preserve">[NAME AND ROLE]</w:t>
      </w:r>
    </w:p>
    <w:p>
      <w:pPr>
        <w:pStyle w:val="BodyText"/>
      </w:pPr>
      <w:r>
        <w:rPr>
          <w:b/>
          <w:bCs/>
        </w:rPr>
        <w:t xml:space="preserve">Target signature date:</w:t>
      </w:r>
      <w:r>
        <w:t xml:space="preserve"> </w:t>
      </w:r>
      <w:r>
        <w:t xml:space="preserve">[DATE]</w:t>
      </w:r>
    </w:p>
    <w:p>
      <w:pPr>
        <w:pStyle w:val="BlockText"/>
      </w:pPr>
      <w:r>
        <w:t xml:space="preserve">Use this checklist before contract signature and at each material service review. Replace bracketed fields and record evidence, owner and status for every requirement. It supports procurement planning; it is not legal, regulatory or clinical advice. Verify the applicable flag-state, coastal-state, labour, health and safety, healthcare, medicines and data-protection requirements for each operation.</w:t>
      </w:r>
    </w:p>
    <w:bookmarkEnd w:id="9"/>
    <w:bookmarkEnd w:id="10"/>
    <w:bookmarkStart w:id="11" w:name="scope-and-operating-assumptions"/>
    <w:p>
      <w:pPr>
        <w:pStyle w:val="Heading1"/>
      </w:pPr>
      <w:r>
        <w:t xml:space="preserve">1. Scope and operating assumptions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Check</w:t>
            </w:r>
          </w:p>
        </w:tc>
        <w:tc>
          <w:tcPr/>
          <w:p>
            <w:pPr>
              <w:pStyle w:val="Compact"/>
            </w:pPr>
            <w:r>
              <w:t xml:space="preserve">Agreed position / evidence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Assets, sites, vessels and operating areas are listed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Applicable flags and jurisdictions are identified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Service population and exclusions are defined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 phases and expected headcount changes are covered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First-aid needs and operational risk assessments are current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delay to definitive care is documented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Responder competencies, languages and scopes are attached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Equipment and medication inventories are attached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Buyer and provider dependencies are listed with owners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</w:tbl>
    <w:bookmarkEnd w:id="11"/>
    <w:bookmarkStart w:id="12" w:name="contact-pathway-and-measured-times"/>
    <w:p>
      <w:pPr>
        <w:pStyle w:val="Heading1"/>
      </w:pPr>
      <w:r>
        <w:t xml:space="preserve">2. Contact pathway and measured times</w:t>
      </w:r>
    </w:p>
    <w:p>
      <w:pPr>
        <w:pStyle w:val="FirstParagraph"/>
      </w:pPr>
      <w:r>
        <w:t xml:space="preserve">Do not accept “response time” without a named clock start and stop.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Measure</w:t>
            </w:r>
          </w:p>
        </w:tc>
        <w:tc>
          <w:tcPr/>
          <w:p>
            <w:pPr>
              <w:pStyle w:val="Compact"/>
            </w:pPr>
            <w:r>
              <w:t xml:space="preserve">Clock start</w:t>
            </w:r>
          </w:p>
        </w:tc>
        <w:tc>
          <w:tcPr/>
          <w:p>
            <w:pPr>
              <w:pStyle w:val="Compact"/>
            </w:pPr>
            <w:r>
              <w:t xml:space="preserve">Clock stop</w:t>
            </w:r>
          </w:p>
        </w:tc>
        <w:tc>
          <w:tcPr/>
          <w:p>
            <w:pPr>
              <w:pStyle w:val="Compact"/>
            </w:pPr>
            <w:r>
              <w:t xml:space="preserve">Target / percentile</w:t>
            </w:r>
          </w:p>
        </w:tc>
        <w:tc>
          <w:tcPr/>
          <w:p>
            <w:pPr>
              <w:pStyle w:val="Compact"/>
            </w:pPr>
            <w:r>
              <w:t xml:space="preserve">Exclusions</w:t>
            </w:r>
          </w:p>
        </w:tc>
        <w:tc>
          <w:tcPr/>
          <w:p>
            <w:pPr>
              <w:pStyle w:val="Compact"/>
            </w:pPr>
            <w:r>
              <w:t xml:space="preserve">Evidence 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Initial human answer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Clinical triage begins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Contracted clinician grade connected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Clinical record available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Critical incident notification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</w:tbl>
    <w:p>
      <w:pPr>
        <w:pStyle w:val="Compact"/>
        <w:numPr>
          <w:ilvl w:val="0"/>
          <w:numId w:val="1001"/>
        </w:numPr>
      </w:pPr>
      <w:r>
        <w:t xml:space="preserve">The contract states whether callers reach a call handler, triage clinician or physician directly.</w:t>
      </w:r>
    </w:p>
    <w:p>
      <w:pPr>
        <w:pStyle w:val="Compact"/>
        <w:numPr>
          <w:ilvl w:val="0"/>
          <w:numId w:val="1002"/>
        </w:numPr>
      </w:pPr>
      <w:r>
        <w:t xml:space="preserve">Callback stages and escalation if the callback target is missed are explicit.</w:t>
      </w:r>
    </w:p>
    <w:p>
      <w:pPr>
        <w:pStyle w:val="Compact"/>
        <w:numPr>
          <w:ilvl w:val="0"/>
          <w:numId w:val="1003"/>
        </w:numPr>
      </w:pPr>
      <w:r>
        <w:t xml:space="preserve">Abandoned calls, failed connections and simultaneous cases are defined.</w:t>
      </w:r>
    </w:p>
    <w:p>
      <w:pPr>
        <w:pStyle w:val="Compact"/>
        <w:numPr>
          <w:ilvl w:val="0"/>
          <w:numId w:val="1004"/>
        </w:numPr>
      </w:pPr>
      <w:r>
        <w:t xml:space="preserve">Monthly results include numerator, denominator and exclusions—not only a percentage.</w:t>
      </w:r>
    </w:p>
    <w:p>
      <w:pPr>
        <w:pStyle w:val="Compact"/>
        <w:numPr>
          <w:ilvl w:val="0"/>
          <w:numId w:val="1005"/>
        </w:numPr>
      </w:pPr>
      <w:r>
        <w:t xml:space="preserve">Supplier-controlled failure is distinguished from evidenced buyer-side dependency failure.</w:t>
      </w:r>
    </w:p>
    <w:bookmarkEnd w:id="12"/>
    <w:bookmarkStart w:id="13" w:name="Xafd40351c13ac9a65e4f9d45991fc9d1eee6aeb"/>
    <w:p>
      <w:pPr>
        <w:pStyle w:val="Heading1"/>
      </w:pPr>
      <w:r>
        <w:t xml:space="preserve">3. Availability and communications resilience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Check</w:t>
            </w:r>
          </w:p>
        </w:tc>
        <w:tc>
          <w:tcPr/>
          <w:p>
            <w:pPr>
              <w:pStyle w:val="Compact"/>
            </w:pPr>
            <w:r>
              <w:t xml:space="preserve">Agreed position / evidence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Required coverage window is stated</w:t>
            </w:r>
          </w:p>
        </w:tc>
        <w:tc>
          <w:tcPr/>
          <w:p>
            <w:pPr>
              <w:pStyle w:val="Compact"/>
            </w:pPr>
            <w:r>
              <w:t xml:space="preserve">[24/7 / OTHER]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Channels included in availability calculation are named</w:t>
            </w:r>
          </w:p>
        </w:tc>
        <w:tc>
          <w:tcPr/>
          <w:p>
            <w:pPr>
              <w:pStyle w:val="Compact"/>
            </w:pPr>
            <w:r>
              <w:t xml:space="preserve">[VOICE / VIDEO / DATA / OTHER]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Primary, secondary and tertiary contact routes are documented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Voice fallback works without video or data connectivity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Planned maintenance and emergency change rules are defined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Simultaneous-case and surge staffing arrangements are evidenced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Communications-loss procedure during an active case is tested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 frequency and evidence retention are agreed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</w:tbl>
    <w:bookmarkEnd w:id="13"/>
    <w:bookmarkStart w:id="14" w:name="clinical-capability-and-continuity"/>
    <w:p>
      <w:pPr>
        <w:pStyle w:val="Heading1"/>
      </w:pPr>
      <w:r>
        <w:t xml:space="preserve">4. Clinical capability and continuity</w:t>
      </w:r>
    </w:p>
    <w:p>
      <w:pPr>
        <w:pStyle w:val="Compact"/>
        <w:numPr>
          <w:ilvl w:val="0"/>
          <w:numId w:val="1006"/>
        </w:numPr>
      </w:pPr>
      <w:r>
        <w:t xml:space="preserve">Contracted clinician grade and minimum competence are stated.</w:t>
      </w:r>
    </w:p>
    <w:p>
      <w:pPr>
        <w:pStyle w:val="Compact"/>
        <w:numPr>
          <w:ilvl w:val="0"/>
          <w:numId w:val="1007"/>
        </w:numPr>
      </w:pPr>
      <w:r>
        <w:t xml:space="preserve">Relevant professional registration and jurisdictional authority are evidenced.</w:t>
      </w:r>
    </w:p>
    <w:p>
      <w:pPr>
        <w:pStyle w:val="Compact"/>
        <w:numPr>
          <w:ilvl w:val="0"/>
          <w:numId w:val="1008"/>
        </w:numPr>
      </w:pPr>
      <w:r>
        <w:t xml:space="preserve">Professional indemnity and organisational insurance cover the proposed work and territories.</w:t>
      </w:r>
    </w:p>
    <w:p>
      <w:pPr>
        <w:pStyle w:val="Compact"/>
        <w:numPr>
          <w:ilvl w:val="0"/>
          <w:numId w:val="1009"/>
        </w:numPr>
      </w:pPr>
      <w:r>
        <w:t xml:space="preserve">Remote-consultation and relevant maritime/offshore experience requirements are stated.</w:t>
      </w:r>
    </w:p>
    <w:p>
      <w:pPr>
        <w:pStyle w:val="Compact"/>
        <w:numPr>
          <w:ilvl w:val="0"/>
          <w:numId w:val="1010"/>
        </w:numPr>
      </w:pPr>
      <w:r>
        <w:t xml:space="preserve">Advice is aligned with responder competence, equipment and medicines available.</w:t>
      </w:r>
    </w:p>
    <w:p>
      <w:pPr>
        <w:pStyle w:val="Compact"/>
        <w:numPr>
          <w:ilvl w:val="0"/>
          <w:numId w:val="1011"/>
        </w:numPr>
      </w:pPr>
      <w:r>
        <w:t xml:space="preserve">Active-case handover between shifts is documented.</w:t>
      </w:r>
    </w:p>
    <w:p>
      <w:pPr>
        <w:pStyle w:val="Compact"/>
        <w:numPr>
          <w:ilvl w:val="0"/>
          <w:numId w:val="1012"/>
        </w:numPr>
      </w:pPr>
      <w:r>
        <w:t xml:space="preserve">Ownership of follow-up and reassessment intervals is clear.</w:t>
      </w:r>
    </w:p>
    <w:p>
      <w:pPr>
        <w:pStyle w:val="Compact"/>
        <w:numPr>
          <w:ilvl w:val="0"/>
          <w:numId w:val="1013"/>
        </w:numPr>
      </w:pPr>
      <w:r>
        <w:t xml:space="preserve">Specialist escalation access and limitations are described.</w:t>
      </w:r>
    </w:p>
    <w:p>
      <w:pPr>
        <w:pStyle w:val="Compact"/>
        <w:numPr>
          <w:ilvl w:val="0"/>
          <w:numId w:val="1014"/>
        </w:numPr>
      </w:pPr>
      <w:r>
        <w:t xml:space="preserve">The service does not guarantee diagnosis or present remote advice as a substitute for necessary physical assessment, testing, on-site care or evacuation.</w:t>
      </w:r>
    </w:p>
    <w:bookmarkEnd w:id="14"/>
    <w:bookmarkStart w:id="15" w:name="clinical-governance-and-safety"/>
    <w:p>
      <w:pPr>
        <w:pStyle w:val="Heading1"/>
      </w:pPr>
      <w:r>
        <w:t xml:space="preserve">5. Clinical governance and safety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Requirement</w:t>
            </w:r>
          </w:p>
        </w:tc>
        <w:tc>
          <w:tcPr/>
          <w:p>
            <w:pPr>
              <w:pStyle w:val="Compact"/>
            </w:pPr>
            <w:r>
              <w:t xml:space="preserve">Required evidence</w:t>
            </w:r>
          </w:p>
        </w:tc>
        <w:tc>
          <w:tcPr/>
          <w:p>
            <w:pPr>
              <w:pStyle w:val="Compact"/>
            </w:pPr>
            <w:r>
              <w:t xml:space="preserve">Reviewed by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Accountable clinical lead</w:t>
            </w:r>
          </w:p>
        </w:tc>
        <w:tc>
          <w:tcPr/>
          <w:p>
            <w:pPr>
              <w:pStyle w:val="Compact"/>
            </w:pPr>
            <w:r>
              <w:t xml:space="preserve">Name, role, registration and responsibilities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Protocol governance</w:t>
            </w:r>
          </w:p>
        </w:tc>
        <w:tc>
          <w:tcPr/>
          <w:p>
            <w:pPr>
              <w:pStyle w:val="Compact"/>
            </w:pPr>
            <w:r>
              <w:t xml:space="preserve">Redacted example, ownership, approval and version history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Clinical audit</w:t>
            </w:r>
          </w:p>
        </w:tc>
        <w:tc>
          <w:tcPr/>
          <w:p>
            <w:pPr>
              <w:pStyle w:val="Compact"/>
            </w:pPr>
            <w:r>
              <w:t xml:space="preserve">Audit method, sample and completed example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Incident management</w:t>
            </w:r>
          </w:p>
        </w:tc>
        <w:tc>
          <w:tcPr/>
          <w:p>
            <w:pPr>
              <w:pStyle w:val="Compact"/>
            </w:pPr>
            <w:r>
              <w:t xml:space="preserve">Definitions, notification, review and escalation process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Corrective actions</w:t>
            </w:r>
          </w:p>
        </w:tc>
        <w:tc>
          <w:tcPr/>
          <w:p>
            <w:pPr>
              <w:pStyle w:val="Compact"/>
            </w:pPr>
            <w:r>
              <w:t xml:space="preserve">Ownership, target dates and closure evidence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Complaints and safeguarding</w:t>
            </w:r>
          </w:p>
        </w:tc>
        <w:tc>
          <w:tcPr/>
          <w:p>
            <w:pPr>
              <w:pStyle w:val="Compact"/>
            </w:pPr>
            <w:r>
              <w:t xml:space="preserve">Applicable procedures and contacts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Technology clinical risk</w:t>
            </w:r>
          </w:p>
        </w:tc>
        <w:tc>
          <w:tcPr/>
          <w:p>
            <w:pPr>
              <w:pStyle w:val="Compact"/>
            </w:pPr>
            <w:r>
              <w:t xml:space="preserve">Hazard/risk evidence appropriate to system and jurisdiction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</w:tbl>
    <w:p>
      <w:pPr>
        <w:pStyle w:val="Compact"/>
        <w:numPr>
          <w:ilvl w:val="0"/>
          <w:numId w:val="1015"/>
        </w:numPr>
      </w:pPr>
      <w:r>
        <w:t xml:space="preserve">KPIs measure supplier-controlled processes rather than rewarding avoidance of clinically indicated evacuation.</w:t>
      </w:r>
    </w:p>
    <w:p>
      <w:pPr>
        <w:pStyle w:val="Compact"/>
        <w:numPr>
          <w:ilvl w:val="0"/>
          <w:numId w:val="1016"/>
        </w:numPr>
      </w:pPr>
      <w:r>
        <w:t xml:space="preserve">Operational outcomes are reported without automatic attribution to the provider.</w:t>
      </w:r>
    </w:p>
    <w:p>
      <w:pPr>
        <w:pStyle w:val="Compact"/>
        <w:numPr>
          <w:ilvl w:val="0"/>
          <w:numId w:val="1017"/>
        </w:numPr>
      </w:pPr>
      <w:r>
        <w:t xml:space="preserve">Material protocol changes trigger buyer notification and responder reorientation where needed.</w:t>
      </w:r>
    </w:p>
    <w:bookmarkEnd w:id="15"/>
    <w:bookmarkStart w:id="16" w:name="erp-tmas-and-evacuation-interface"/>
    <w:p>
      <w:pPr>
        <w:pStyle w:val="Heading1"/>
      </w:pPr>
      <w:r>
        <w:t xml:space="preserve">6. ERP, TMAS and evacuation interface</w:t>
      </w:r>
    </w:p>
    <w:p>
      <w:pPr>
        <w:pStyle w:val="Compact"/>
        <w:numPr>
          <w:ilvl w:val="0"/>
          <w:numId w:val="1018"/>
        </w:numPr>
      </w:pPr>
      <w:r>
        <w:t xml:space="preserve">Activation criteria and authorised callers are defined.</w:t>
      </w:r>
    </w:p>
    <w:p>
      <w:pPr>
        <w:pStyle w:val="Compact"/>
        <w:numPr>
          <w:ilvl w:val="0"/>
          <w:numId w:val="1019"/>
        </w:numPr>
      </w:pPr>
      <w:r>
        <w:t xml:space="preserve">Minimum clinical and operational handover dataset is agreed.</w:t>
      </w:r>
    </w:p>
    <w:p>
      <w:pPr>
        <w:pStyle w:val="Compact"/>
        <w:numPr>
          <w:ilvl w:val="0"/>
          <w:numId w:val="1020"/>
        </w:numPr>
      </w:pPr>
      <w:r>
        <w:t xml:space="preserve">Roles of remote clinician, responder, master, duty holder and emergency coordinator are explicit.</w:t>
      </w:r>
    </w:p>
    <w:p>
      <w:pPr>
        <w:pStyle w:val="Compact"/>
        <w:numPr>
          <w:ilvl w:val="0"/>
          <w:numId w:val="1021"/>
        </w:numPr>
      </w:pPr>
      <w:r>
        <w:t xml:space="preserve">Flag-state TMAS and rescue coordination interfaces are documented where applicable.</w:t>
      </w:r>
    </w:p>
    <w:p>
      <w:pPr>
        <w:pStyle w:val="Compact"/>
        <w:numPr>
          <w:ilvl w:val="0"/>
          <w:numId w:val="1022"/>
        </w:numPr>
      </w:pPr>
      <w:r>
        <w:t xml:space="preserve">A public contact pathway is not misrepresented as a tested or contractual integration.</w:t>
      </w:r>
    </w:p>
    <w:p>
      <w:pPr>
        <w:pStyle w:val="Compact"/>
        <w:numPr>
          <w:ilvl w:val="0"/>
          <w:numId w:val="1023"/>
        </w:numPr>
      </w:pPr>
      <w:r>
        <w:t xml:space="preserve">Time-critical escalation can proceed while clinical assessment continues.</w:t>
      </w:r>
    </w:p>
    <w:p>
      <w:pPr>
        <w:pStyle w:val="Compact"/>
        <w:numPr>
          <w:ilvl w:val="0"/>
          <w:numId w:val="1024"/>
        </w:numPr>
      </w:pPr>
      <w:r>
        <w:t xml:space="preserve">Loss of communication during escalation is covered.</w:t>
      </w:r>
    </w:p>
    <w:p>
      <w:pPr>
        <w:pStyle w:val="Compact"/>
        <w:numPr>
          <w:ilvl w:val="0"/>
          <w:numId w:val="1025"/>
        </w:numPr>
      </w:pPr>
      <w:r>
        <w:t xml:space="preserve">Mobilisation and recurring exercise requirements are stated.</w:t>
      </w:r>
    </w:p>
    <w:p>
      <w:pPr>
        <w:pStyle w:val="Compact"/>
        <w:numPr>
          <w:ilvl w:val="0"/>
          <w:numId w:val="1026"/>
        </w:numPr>
      </w:pPr>
      <w:r>
        <w:t xml:space="preserve">Post-incident participation and record availability are agreed.</w:t>
      </w:r>
    </w:p>
    <w:p>
      <w:pPr>
        <w:pStyle w:val="FirstParagraph"/>
      </w:pPr>
      <w:r>
        <w:rPr>
          <w:b/>
          <w:bCs/>
        </w:rPr>
        <w:t xml:space="preserve">Decision boundary:</w:t>
      </w:r>
      <w:r>
        <w:t xml:space="preserve"> </w:t>
      </w:r>
      <w:r>
        <w:t xml:space="preserve">[INSERT CONTRACT WORDING CONFIRMING CLINICAL ADVICE AND OPERATIONAL AUTHORITY]</w:t>
      </w:r>
    </w:p>
    <w:bookmarkEnd w:id="16"/>
    <w:bookmarkStart w:id="17" w:name="health-data-and-clinical-records"/>
    <w:p>
      <w:pPr>
        <w:pStyle w:val="Heading1"/>
      </w:pPr>
      <w:r>
        <w:t xml:space="preserve">7. Health data and clinical records</w:t>
      </w:r>
    </w:p>
    <w:p>
      <w:pPr>
        <w:pStyle w:val="FirstParagraph"/>
      </w:pPr>
      <w:r>
        <w:t xml:space="preserve">Determine roles per processing activity; do not assume the provider is a processor for all clinical processing.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Check</w:t>
            </w:r>
          </w:p>
        </w:tc>
        <w:tc>
          <w:tcPr/>
          <w:p>
            <w:pPr>
              <w:pStyle w:val="Compact"/>
            </w:pPr>
            <w:r>
              <w:t xml:space="preserve">Agreed position / evidence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Controller / processor / joint-controller roles and reasoning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Purposes, lawful bases and Article 9 condition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categories and data subjects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flow, systems and subprocessors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Storage, support access, backups and transfer locations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Authentication, access control, encryption and logging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Retention and lawful healthcare-record obligations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Patient and onward-clinician record access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Breach cooperation and contractual notification target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Audit and compliance information rights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Exit export format, timing and recipient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Deletion, retained copies and access revocation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</w:tbl>
    <w:bookmarkEnd w:id="17"/>
    <w:bookmarkStart w:id="18" w:name="core-kpi-schedule"/>
    <w:p>
      <w:pPr>
        <w:pStyle w:val="Heading1"/>
      </w:pPr>
      <w:r>
        <w:t xml:space="preserve">8. Core KPI schedule</w:t>
      </w:r>
    </w:p>
    <w:p>
      <w:pPr>
        <w:pStyle w:val="FirstParagraph"/>
      </w:pPr>
      <w:r>
        <w:t xml:space="preserve">Use a small number of objective measures. Begin recording from service commencement even if financial remedies start after an agreed mobilisation period.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50"/>
        <w:gridCol w:w="1250"/>
        <w:gridCol w:w="1667"/>
        <w:gridCol w:w="1250"/>
        <w:gridCol w:w="1250"/>
        <w:gridCol w:w="125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t xml:space="preserve">Definition and calculation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Target</w:t>
            </w:r>
          </w:p>
        </w:tc>
        <w:tc>
          <w:tcPr/>
          <w:p>
            <w:pPr>
              <w:pStyle w:val="Compact"/>
            </w:pPr>
            <w:r>
              <w:t xml:space="preserve">Reporting</w:t>
            </w:r>
          </w:p>
        </w:tc>
        <w:tc>
          <w:tcPr/>
          <w:p>
            <w:pPr>
              <w:pStyle w:val="Compact"/>
            </w:pPr>
            <w:r>
              <w:t xml:space="preserve">Remedy / escalation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Connection to contracted clinician grade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Failed or abandoned contacts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Availability of agreed clinical channels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Clinical-record completion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Required incident notification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Required case review completed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Corrective actions closed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</w:tbl>
    <w:p>
      <w:pPr>
        <w:pStyle w:val="Compact"/>
        <w:numPr>
          <w:ilvl w:val="0"/>
          <w:numId w:val="1027"/>
        </w:numPr>
      </w:pPr>
      <w:r>
        <w:t xml:space="preserve">Data source and audit trail are named for every KPI.</w:t>
      </w:r>
    </w:p>
    <w:p>
      <w:pPr>
        <w:pStyle w:val="Compact"/>
        <w:numPr>
          <w:ilvl w:val="0"/>
          <w:numId w:val="1028"/>
        </w:numPr>
      </w:pPr>
      <w:r>
        <w:t xml:space="preserve">Percentile, average or all-cases method is explicit.</w:t>
      </w:r>
    </w:p>
    <w:p>
      <w:pPr>
        <w:pStyle w:val="Compact"/>
        <w:numPr>
          <w:ilvl w:val="0"/>
          <w:numId w:val="1029"/>
        </w:numPr>
      </w:pPr>
      <w:r>
        <w:t xml:space="preserve">Volume, demand and simultaneous-case assumptions are recorded.</w:t>
      </w:r>
    </w:p>
    <w:p>
      <w:pPr>
        <w:pStyle w:val="Compact"/>
        <w:numPr>
          <w:ilvl w:val="0"/>
          <w:numId w:val="1030"/>
        </w:numPr>
      </w:pPr>
      <w:r>
        <w:t xml:space="preserve">Exclusions and relief events are narrow, evidenced and reviewable.</w:t>
      </w:r>
    </w:p>
    <w:p>
      <w:pPr>
        <w:pStyle w:val="Compact"/>
        <w:numPr>
          <w:ilvl w:val="0"/>
          <w:numId w:val="1031"/>
        </w:numPr>
      </w:pPr>
      <w:r>
        <w:t xml:space="preserve">KPI set is reviewed when assets, phases, headcount or risk materially change.</w:t>
      </w:r>
    </w:p>
    <w:bookmarkEnd w:id="18"/>
    <w:bookmarkStart w:id="19" w:name="remedies-and-repeated-failure"/>
    <w:p>
      <w:pPr>
        <w:pStyle w:val="Heading1"/>
      </w:pPr>
      <w:r>
        <w:t xml:space="preserve">9. Remedies and repeated failure</w:t>
      </w:r>
    </w:p>
    <w:p>
      <w:pPr>
        <w:pStyle w:val="Compact"/>
        <w:numPr>
          <w:ilvl w:val="0"/>
          <w:numId w:val="1032"/>
        </w:numPr>
      </w:pPr>
      <w:r>
        <w:t xml:space="preserve">Immediate escalation triggers are separated from monthly commercial remedies.</w:t>
      </w:r>
    </w:p>
    <w:p>
      <w:pPr>
        <w:pStyle w:val="Compact"/>
        <w:numPr>
          <w:ilvl w:val="0"/>
          <w:numId w:val="1033"/>
        </w:numPr>
      </w:pPr>
      <w:r>
        <w:t xml:space="preserve">Service credits or other remedies are proportionate and clearly calculated.</w:t>
      </w:r>
    </w:p>
    <w:p>
      <w:pPr>
        <w:pStyle w:val="Compact"/>
        <w:numPr>
          <w:ilvl w:val="0"/>
          <w:numId w:val="1034"/>
        </w:numPr>
      </w:pPr>
      <w:r>
        <w:t xml:space="preserve">Credits do not replace root-cause analysis or corrective action.</w:t>
      </w:r>
    </w:p>
    <w:p>
      <w:pPr>
        <w:pStyle w:val="Compact"/>
        <w:numPr>
          <w:ilvl w:val="0"/>
          <w:numId w:val="1035"/>
        </w:numPr>
      </w:pPr>
      <w:r>
        <w:t xml:space="preserve">Rectification-plan content, owner and deadlines are defined.</w:t>
      </w:r>
    </w:p>
    <w:p>
      <w:pPr>
        <w:pStyle w:val="Compact"/>
        <w:numPr>
          <w:ilvl w:val="0"/>
          <w:numId w:val="1036"/>
        </w:numPr>
      </w:pPr>
      <w:r>
        <w:t xml:space="preserve">Repeated and critical failure thresholds are defined.</w:t>
      </w:r>
    </w:p>
    <w:p>
      <w:pPr>
        <w:pStyle w:val="Compact"/>
        <w:numPr>
          <w:ilvl w:val="0"/>
          <w:numId w:val="1037"/>
        </w:numPr>
      </w:pPr>
      <w:r>
        <w:t xml:space="preserve">Buyer audit, step-in or enhanced-monitoring rights are proportionate.</w:t>
      </w:r>
    </w:p>
    <w:p>
      <w:pPr>
        <w:pStyle w:val="Compact"/>
        <w:numPr>
          <w:ilvl w:val="0"/>
          <w:numId w:val="1038"/>
        </w:numPr>
      </w:pPr>
      <w:r>
        <w:t xml:space="preserve">Suspension and termination rights cover serious or persistent breach.</w:t>
      </w:r>
    </w:p>
    <w:p>
      <w:pPr>
        <w:pStyle w:val="Compact"/>
        <w:numPr>
          <w:ilvl w:val="0"/>
          <w:numId w:val="1039"/>
        </w:numPr>
      </w:pPr>
      <w:r>
        <w:t xml:space="preserve">Dispute over a KPI does not delay urgent safety action.</w:t>
      </w:r>
    </w:p>
    <w:bookmarkEnd w:id="19"/>
    <w:bookmarkStart w:id="20" w:name="mobilisation-testing-and-acceptance"/>
    <w:p>
      <w:pPr>
        <w:pStyle w:val="Heading1"/>
      </w:pPr>
      <w:r>
        <w:t xml:space="preserve">10. Mobilisation, testing and acceptance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Acceptance item</w:t>
            </w:r>
          </w:p>
        </w:tc>
        <w:tc>
          <w:tcPr/>
          <w:p>
            <w:pPr>
              <w:pStyle w:val="Compact"/>
            </w:pPr>
            <w:r>
              <w:t xml:space="preserve">Evidence required</w:t>
            </w:r>
          </w:p>
        </w:tc>
        <w:tc>
          <w:tcPr/>
          <w:p>
            <w:pPr>
              <w:pStyle w:val="Compact"/>
            </w:pPr>
            <w:r>
              <w:t xml:space="preserve">Due</w:t>
            </w:r>
          </w:p>
        </w:tc>
        <w:tc>
          <w:tcPr/>
          <w:p>
            <w:pPr>
              <w:pStyle w:val="Compact"/>
            </w:pPr>
            <w:r>
              <w:t xml:space="preserve">Accepted by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Contact routes and fallback tested</w:t>
            </w:r>
          </w:p>
        </w:tc>
        <w:tc>
          <w:tcPr/>
          <w:p>
            <w:pPr>
              <w:pStyle w:val="Compact"/>
            </w:pPr>
            <w:r>
              <w:t xml:space="preserve">Test record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Clinician and escalation rosters validated</w:t>
            </w:r>
          </w:p>
        </w:tc>
        <w:tc>
          <w:tcPr/>
          <w:p>
            <w:pPr>
              <w:pStyle w:val="Compact"/>
            </w:pPr>
            <w:r>
              <w:t xml:space="preserve">Registration and coverage evidence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Protocols aligned with responders and inventory</w:t>
            </w:r>
          </w:p>
        </w:tc>
        <w:tc>
          <w:tcPr/>
          <w:p>
            <w:pPr>
              <w:pStyle w:val="Compact"/>
            </w:pPr>
            <w:r>
              <w:t xml:space="preserve">Signed alignment record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protection and security review completed</w:t>
            </w:r>
          </w:p>
        </w:tc>
        <w:tc>
          <w:tcPr/>
          <w:p>
            <w:pPr>
              <w:pStyle w:val="Compact"/>
            </w:pPr>
            <w:r>
              <w:t xml:space="preserve">DPA / role record / data flow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ERP interface approved</w:t>
            </w:r>
          </w:p>
        </w:tc>
        <w:tc>
          <w:tcPr/>
          <w:p>
            <w:pPr>
              <w:pStyle w:val="Compact"/>
            </w:pPr>
            <w:r>
              <w:t xml:space="preserve">Workflow and roles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End-to-end scenario exercise passed</w:t>
            </w:r>
          </w:p>
        </w:tc>
        <w:tc>
          <w:tcPr/>
          <w:p>
            <w:pPr>
              <w:pStyle w:val="Compact"/>
            </w:pPr>
            <w:r>
              <w:t xml:space="preserve">Exercise report and actions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Reporting format and KPI calculations tested</w:t>
            </w:r>
          </w:p>
        </w:tc>
        <w:tc>
          <w:tcPr/>
          <w:p>
            <w:pPr>
              <w:pStyle w:val="Compact"/>
            </w:pPr>
            <w:r>
              <w:t xml:space="preserve">Sample report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Exit record export demonstrated</w:t>
            </w:r>
          </w:p>
        </w:tc>
        <w:tc>
          <w:tcPr/>
          <w:p>
            <w:pPr>
              <w:pStyle w:val="Compact"/>
            </w:pPr>
            <w:r>
              <w:t xml:space="preserve">Sample export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</w:tbl>
    <w:bookmarkEnd w:id="20"/>
    <w:bookmarkStart w:id="21" w:name="business-continuity-change-and-exit"/>
    <w:p>
      <w:pPr>
        <w:pStyle w:val="Heading1"/>
      </w:pPr>
      <w:r>
        <w:t xml:space="preserve">11. Business continuity, change and exit</w:t>
      </w:r>
    </w:p>
    <w:p>
      <w:pPr>
        <w:pStyle w:val="Compact"/>
        <w:numPr>
          <w:ilvl w:val="0"/>
          <w:numId w:val="1040"/>
        </w:numPr>
      </w:pPr>
      <w:r>
        <w:t xml:space="preserve">Clinical staffing, platform, telecoms and supplier-failure scenarios are covered.</w:t>
      </w:r>
    </w:p>
    <w:p>
      <w:pPr>
        <w:pStyle w:val="Compact"/>
        <w:numPr>
          <w:ilvl w:val="0"/>
          <w:numId w:val="1041"/>
        </w:numPr>
      </w:pPr>
      <w:r>
        <w:t xml:space="preserve">Recovery priorities and communication responsibilities are stated.</w:t>
      </w:r>
    </w:p>
    <w:p>
      <w:pPr>
        <w:pStyle w:val="Compact"/>
        <w:numPr>
          <w:ilvl w:val="0"/>
          <w:numId w:val="1042"/>
        </w:numPr>
      </w:pPr>
      <w:r>
        <w:t xml:space="preserve">Material subcontractors and dependencies are disclosed.</w:t>
      </w:r>
    </w:p>
    <w:p>
      <w:pPr>
        <w:pStyle w:val="Compact"/>
        <w:numPr>
          <w:ilvl w:val="0"/>
          <w:numId w:val="1043"/>
        </w:numPr>
      </w:pPr>
      <w:r>
        <w:t xml:space="preserve">Buyer approval or notification applies to material changes.</w:t>
      </w:r>
    </w:p>
    <w:p>
      <w:pPr>
        <w:pStyle w:val="Compact"/>
        <w:numPr>
          <w:ilvl w:val="0"/>
          <w:numId w:val="1044"/>
        </w:numPr>
      </w:pPr>
      <w:r>
        <w:t xml:space="preserve">Change control assesses clinical, operational, security and data-protection impact.</w:t>
      </w:r>
    </w:p>
    <w:p>
      <w:pPr>
        <w:pStyle w:val="Compact"/>
        <w:numPr>
          <w:ilvl w:val="0"/>
          <w:numId w:val="1045"/>
        </w:numPr>
      </w:pPr>
      <w:r>
        <w:t xml:space="preserve">Active cases can be handed over safely at contract end.</w:t>
      </w:r>
    </w:p>
    <w:p>
      <w:pPr>
        <w:pStyle w:val="Compact"/>
        <w:numPr>
          <w:ilvl w:val="0"/>
          <w:numId w:val="1046"/>
        </w:numPr>
      </w:pPr>
      <w:r>
        <w:t xml:space="preserve">Clinical records are exported in an agreed, intelligible and usable format.</w:t>
      </w:r>
    </w:p>
    <w:p>
      <w:pPr>
        <w:pStyle w:val="Compact"/>
        <w:numPr>
          <w:ilvl w:val="0"/>
          <w:numId w:val="1047"/>
        </w:numPr>
      </w:pPr>
      <w:r>
        <w:t xml:space="preserve">Legally required retention is distinguished from copies that must be deleted.</w:t>
      </w:r>
    </w:p>
    <w:p>
      <w:pPr>
        <w:pStyle w:val="Compact"/>
        <w:numPr>
          <w:ilvl w:val="0"/>
          <w:numId w:val="1048"/>
        </w:numPr>
      </w:pPr>
      <w:r>
        <w:t xml:space="preserve">Transition assistance, timescale and cost are agreed.</w:t>
      </w:r>
    </w:p>
    <w:p>
      <w:pPr>
        <w:pStyle w:val="Compact"/>
        <w:numPr>
          <w:ilvl w:val="0"/>
          <w:numId w:val="1049"/>
        </w:numPr>
      </w:pPr>
      <w:r>
        <w:t xml:space="preserve">Access is revoked and deletion or retention is confirmed at exit.</w:t>
      </w:r>
    </w:p>
    <w:bookmarkEnd w:id="21"/>
    <w:bookmarkStart w:id="23" w:name="final-sign-off"/>
    <w:p>
      <w:pPr>
        <w:pStyle w:val="Heading1"/>
      </w:pPr>
      <w:r>
        <w:t xml:space="preserve">12. Final sign-off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Review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Decision / conditions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Clinical governance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HSE / emergency response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Procurement / commercial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Legal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protection / security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Operational owner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  <w:tc>
          <w:tcPr/>
          <w:p>
            <w:pPr>
              <w:pStyle w:val="Compact"/>
            </w:pPr>
            <w:r>
              <w:t xml:space="preserve">[ ]</w:t>
            </w:r>
          </w:p>
        </w:tc>
      </w:tr>
    </w:tbl>
    <w:bookmarkStart w:id="22" w:name="open-conditions-before-signature"/>
    <w:p>
      <w:pPr>
        <w:pStyle w:val="Heading2"/>
      </w:pPr>
      <w:r>
        <w:t xml:space="preserve">Open conditions before signature</w:t>
      </w:r>
    </w:p>
    <w:p>
      <w:pPr>
        <w:pStyle w:val="Compact"/>
        <w:numPr>
          <w:ilvl w:val="0"/>
          <w:numId w:val="1050"/>
        </w:numPr>
      </w:pPr>
      <w:r>
        <w:t xml:space="preserve">[ ]</w:t>
      </w:r>
    </w:p>
    <w:p>
      <w:pPr>
        <w:pStyle w:val="Compact"/>
        <w:numPr>
          <w:ilvl w:val="0"/>
          <w:numId w:val="1050"/>
        </w:numPr>
      </w:pPr>
      <w:r>
        <w:t xml:space="preserve">[ ]</w:t>
      </w:r>
    </w:p>
    <w:p>
      <w:pPr>
        <w:pStyle w:val="Compact"/>
        <w:numPr>
          <w:ilvl w:val="0"/>
          <w:numId w:val="1050"/>
        </w:numPr>
      </w:pPr>
      <w:r>
        <w:t xml:space="preserve">[ ]</w:t>
      </w:r>
    </w:p>
    <w:bookmarkEnd w:id="22"/>
    <w:bookmarkEnd w:id="23"/>
    <w:bookmarkStart w:id="32" w:name="source-framework"/>
    <w:p>
      <w:pPr>
        <w:pStyle w:val="Heading1"/>
      </w:pPr>
      <w:r>
        <w:t xml:space="preserve">Source framework</w:t>
      </w:r>
    </w:p>
    <w:p>
      <w:pPr>
        <w:pStyle w:val="FirstParagraph"/>
      </w:pPr>
      <w:r>
        <w:t xml:space="preserve">Verify current versions and applicability before use.</w:t>
      </w:r>
    </w:p>
    <w:p>
      <w:pPr>
        <w:pStyle w:val="Compact"/>
        <w:numPr>
          <w:ilvl w:val="0"/>
          <w:numId w:val="1051"/>
        </w:numPr>
      </w:pPr>
      <w:r>
        <w:t xml:space="preserve">International Labour Organization,</w:t>
      </w:r>
      <w:r>
        <w:t xml:space="preserve"> </w:t>
      </w:r>
      <w:r>
        <w:rPr>
          <w:i/>
          <w:iCs/>
        </w:rPr>
        <w:t xml:space="preserve">Maritime Labour Convention, 2006</w:t>
      </w:r>
      <w:r>
        <w:t xml:space="preserve">, Regulation and Standard A4.1:</w:t>
      </w:r>
      <w:r>
        <w:t xml:space="preserve"> </w:t>
      </w:r>
      <w:hyperlink r:id="rId24">
        <w:r>
          <w:rPr>
            <w:rStyle w:val="Hyperlink"/>
          </w:rPr>
          <w:t xml:space="preserve">https://www.ilo.org/media/269841/download</w:t>
        </w:r>
      </w:hyperlink>
    </w:p>
    <w:p>
      <w:pPr>
        <w:pStyle w:val="Compact"/>
        <w:numPr>
          <w:ilvl w:val="0"/>
          <w:numId w:val="1051"/>
        </w:numPr>
      </w:pPr>
      <w:r>
        <w:t xml:space="preserve">International Maritime Organization, MSC/Circ.960,</w:t>
      </w:r>
      <w:r>
        <w:t xml:space="preserve"> </w:t>
      </w:r>
      <w:r>
        <w:rPr>
          <w:i/>
          <w:iCs/>
        </w:rPr>
        <w:t xml:space="preserve">Medical Assistance at Sea</w:t>
      </w:r>
      <w:r>
        <w:t xml:space="preserve">:</w:t>
      </w:r>
      <w:r>
        <w:t xml:space="preserve"> </w:t>
      </w:r>
      <w:hyperlink r:id="rId25">
        <w:r>
          <w:rPr>
            <w:rStyle w:val="Hyperlink"/>
          </w:rPr>
          <w:t xml:space="preserve">https://wwwcdn.imo.org/localresources/en/OurWork/Safety/Documents/MSC.1-Circ.960%20-%20Medical%20Assistance%20At%20Sea.PDF</w:t>
        </w:r>
      </w:hyperlink>
    </w:p>
    <w:p>
      <w:pPr>
        <w:pStyle w:val="Compact"/>
        <w:numPr>
          <w:ilvl w:val="0"/>
          <w:numId w:val="1051"/>
        </w:numPr>
      </w:pPr>
      <w:r>
        <w:t xml:space="preserve">UK Cabinet Office,</w:t>
      </w:r>
      <w:r>
        <w:t xml:space="preserve"> </w:t>
      </w:r>
      <w:r>
        <w:rPr>
          <w:i/>
          <w:iCs/>
        </w:rPr>
        <w:t xml:space="preserve">Model Services Contract</w:t>
      </w:r>
      <w:r>
        <w:t xml:space="preserve"> </w:t>
      </w:r>
      <w:r>
        <w:t xml:space="preserve">and guidance:</w:t>
      </w:r>
      <w:r>
        <w:t xml:space="preserve"> </w:t>
      </w:r>
      <w:hyperlink r:id="rId26">
        <w:r>
          <w:rPr>
            <w:rStyle w:val="Hyperlink"/>
          </w:rPr>
          <w:t xml:space="preserve">https://www.gov.uk/government/collections/model-services-contract</w:t>
        </w:r>
      </w:hyperlink>
    </w:p>
    <w:p>
      <w:pPr>
        <w:pStyle w:val="Compact"/>
        <w:numPr>
          <w:ilvl w:val="0"/>
          <w:numId w:val="1051"/>
        </w:numPr>
      </w:pPr>
      <w:r>
        <w:t xml:space="preserve">UK Cabinet Office,</w:t>
      </w:r>
      <w:r>
        <w:t xml:space="preserve"> </w:t>
      </w:r>
      <w:r>
        <w:rPr>
          <w:i/>
          <w:iCs/>
        </w:rPr>
        <w:t xml:space="preserve">Risk Allocation and Pricing Approaches guidance</w:t>
      </w:r>
      <w:r>
        <w:t xml:space="preserve">:</w:t>
      </w:r>
      <w:r>
        <w:t xml:space="preserve"> </w:t>
      </w:r>
      <w:hyperlink r:id="rId27">
        <w:r>
          <w:rPr>
            <w:rStyle w:val="Hyperlink"/>
          </w:rPr>
          <w:t xml:space="preserve">https://www.gov.uk/government/publications/the-sourcing-and-consultancy-playbooks/risk-allocation-and-pricing-approaches-guidance-note-html</w:t>
        </w:r>
      </w:hyperlink>
    </w:p>
    <w:p>
      <w:pPr>
        <w:pStyle w:val="Compact"/>
        <w:numPr>
          <w:ilvl w:val="0"/>
          <w:numId w:val="1051"/>
        </w:numPr>
      </w:pPr>
      <w:r>
        <w:t xml:space="preserve">Information Commissioner’s Office, controller–processor contract guidance:</w:t>
      </w:r>
      <w:r>
        <w:t xml:space="preserve"> </w:t>
      </w:r>
      <w:hyperlink r:id="rId28">
        <w:r>
          <w:rPr>
            <w:rStyle w:val="Hyperlink"/>
          </w:rPr>
          <w:t xml:space="preserve">https://ico.org.uk/for-organisations/uk-gdpr-guidance-and-resources/accountability-and-governance/contracts-and-liabilities-between-controllers-and-processors-multi/what-needs-to-be-included-in-the-contract/</w:t>
        </w:r>
      </w:hyperlink>
    </w:p>
    <w:p>
      <w:pPr>
        <w:pStyle w:val="Compact"/>
        <w:numPr>
          <w:ilvl w:val="0"/>
          <w:numId w:val="1051"/>
        </w:numPr>
      </w:pPr>
      <w:r>
        <w:t xml:space="preserve">Regulation (EU) 2016/679 (GDPR):</w:t>
      </w:r>
      <w:r>
        <w:t xml:space="preserve"> </w:t>
      </w:r>
      <w:hyperlink r:id="rId29">
        <w:r>
          <w:rPr>
            <w:rStyle w:val="Hyperlink"/>
          </w:rPr>
          <w:t xml:space="preserve">https://eur-lex.europa.eu/eli/reg/2016/679/oj</w:t>
        </w:r>
      </w:hyperlink>
    </w:p>
    <w:p>
      <w:pPr>
        <w:pStyle w:val="Compact"/>
        <w:numPr>
          <w:ilvl w:val="0"/>
          <w:numId w:val="1051"/>
        </w:numPr>
      </w:pPr>
      <w:r>
        <w:t xml:space="preserve">European Data Protection Board,</w:t>
      </w:r>
      <w:r>
        <w:t xml:space="preserve"> </w:t>
      </w:r>
      <w:r>
        <w:rPr>
          <w:i/>
          <w:iCs/>
        </w:rPr>
        <w:t xml:space="preserve">Guidelines 07/2020 on the concepts of controller and processor</w:t>
      </w:r>
      <w:r>
        <w:t xml:space="preserve">:</w:t>
      </w:r>
      <w:r>
        <w:t xml:space="preserve"> </w:t>
      </w:r>
      <w:hyperlink r:id="rId30">
        <w:r>
          <w:rPr>
            <w:rStyle w:val="Hyperlink"/>
          </w:rPr>
          <w:t xml:space="preserve">https://www.edpb.europa.eu/documents/guideline/guidelines-072020-on-the-concepts-of-controller-and-processor-in-the-gdpr_en</w:t>
        </w:r>
      </w:hyperlink>
    </w:p>
    <w:p>
      <w:pPr>
        <w:pStyle w:val="Compact"/>
        <w:numPr>
          <w:ilvl w:val="0"/>
          <w:numId w:val="1051"/>
        </w:numPr>
      </w:pPr>
      <w:r>
        <w:t xml:space="preserve">NHS England, DCB0129 and DCB0160 clinical risk-management standards and 2026 review:</w:t>
      </w:r>
      <w:r>
        <w:t xml:space="preserve"> </w:t>
      </w:r>
      <w:hyperlink r:id="rId31">
        <w:r>
          <w:rPr>
            <w:rStyle w:val="Hyperlink"/>
          </w:rPr>
          <w:t xml:space="preserve">https://www.england.nhs.uk/long-read/national-review-of-clinical-risk-management-standardsdcb0129-and-dcb0160-supporting-information/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Document status:</w:t>
      </w:r>
      <w:r>
        <w:t xml:space="preserve"> </w:t>
      </w:r>
      <w:r>
        <w:t xml:space="preserve">Buyer worksheet for adaptation. Not legal, regulatory or clinical advice. No service outcome, response time, evacuation avoidance or cost saving is guaranteed.</w:t>
      </w:r>
    </w:p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2"/>
  </w:num>
  <w:num w:numId="1018">
    <w:abstractNumId w:val="992"/>
  </w:num>
  <w:num w:numId="1019">
    <w:abstractNumId w:val="992"/>
  </w:num>
  <w:num w:numId="1020">
    <w:abstractNumId w:val="992"/>
  </w:num>
  <w:num w:numId="1021">
    <w:abstractNumId w:val="992"/>
  </w:num>
  <w:num w:numId="1022">
    <w:abstractNumId w:val="992"/>
  </w:num>
  <w:num w:numId="1023">
    <w:abstractNumId w:val="992"/>
  </w:num>
  <w:num w:numId="1024">
    <w:abstractNumId w:val="992"/>
  </w:num>
  <w:num w:numId="1025">
    <w:abstractNumId w:val="992"/>
  </w:num>
  <w:num w:numId="1026">
    <w:abstractNumId w:val="992"/>
  </w:num>
  <w:num w:numId="1027">
    <w:abstractNumId w:val="992"/>
  </w:num>
  <w:num w:numId="1028">
    <w:abstractNumId w:val="992"/>
  </w:num>
  <w:num w:numId="1029">
    <w:abstractNumId w:val="992"/>
  </w:num>
  <w:num w:numId="1030">
    <w:abstractNumId w:val="992"/>
  </w:num>
  <w:num w:numId="1031">
    <w:abstractNumId w:val="992"/>
  </w:num>
  <w:num w:numId="1032">
    <w:abstractNumId w:val="992"/>
  </w:num>
  <w:num w:numId="1033">
    <w:abstractNumId w:val="992"/>
  </w:num>
  <w:num w:numId="1034">
    <w:abstractNumId w:val="992"/>
  </w:num>
  <w:num w:numId="1035">
    <w:abstractNumId w:val="992"/>
  </w:num>
  <w:num w:numId="1036">
    <w:abstractNumId w:val="992"/>
  </w:num>
  <w:num w:numId="1037">
    <w:abstractNumId w:val="992"/>
  </w:num>
  <w:num w:numId="1038">
    <w:abstractNumId w:val="992"/>
  </w:num>
  <w:num w:numId="1039">
    <w:abstractNumId w:val="992"/>
  </w:num>
  <w:num w:numId="1040">
    <w:abstractNumId w:val="992"/>
  </w:num>
  <w:num w:numId="1041">
    <w:abstractNumId w:val="992"/>
  </w:num>
  <w:num w:numId="1042">
    <w:abstractNumId w:val="992"/>
  </w:num>
  <w:num w:numId="1043">
    <w:abstractNumId w:val="992"/>
  </w:num>
  <w:num w:numId="1044">
    <w:abstractNumId w:val="992"/>
  </w:num>
  <w:num w:numId="1045">
    <w:abstractNumId w:val="992"/>
  </w:num>
  <w:num w:numId="1046">
    <w:abstractNumId w:val="992"/>
  </w:num>
  <w:num w:numId="1047">
    <w:abstractNumId w:val="992"/>
  </w:num>
  <w:num w:numId="1048">
    <w:abstractNumId w:val="992"/>
  </w:num>
  <w:num w:numId="1049">
    <w:abstractNumId w:val="992"/>
  </w:num>
  <w:num w:numId="105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GB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9" Target="https://eur-lex.europa.eu/eli/reg/2016/679/oj" TargetMode="External" /><Relationship Type="http://schemas.openxmlformats.org/officeDocument/2006/relationships/hyperlink" Id="rId28" Target="https://ico.org.uk/for-organisations/uk-gdpr-guidance-and-resources/accountability-and-governance/contracts-and-liabilities-between-controllers-and-processors-multi/what-needs-to-be-included-in-the-contract/" TargetMode="External" /><Relationship Type="http://schemas.openxmlformats.org/officeDocument/2006/relationships/hyperlink" Id="rId30" Target="https://www.edpb.europa.eu/documents/guideline/guidelines-072020-on-the-concepts-of-controller-and-processor-in-the-gdpr_en" TargetMode="External" /><Relationship Type="http://schemas.openxmlformats.org/officeDocument/2006/relationships/hyperlink" Id="rId31" Target="https://www.england.nhs.uk/long-read/national-review-of-clinical-risk-management-standardsdcb0129-and-dcb0160-supporting-information/" TargetMode="External" /><Relationship Type="http://schemas.openxmlformats.org/officeDocument/2006/relationships/hyperlink" Id="rId26" Target="https://www.gov.uk/government/collections/model-services-contract" TargetMode="External" /><Relationship Type="http://schemas.openxmlformats.org/officeDocument/2006/relationships/hyperlink" Id="rId27" Target="https://www.gov.uk/government/publications/the-sourcing-and-consultancy-playbooks/risk-allocation-and-pricing-approaches-guidance-note-html" TargetMode="External" /><Relationship Type="http://schemas.openxmlformats.org/officeDocument/2006/relationships/hyperlink" Id="rId24" Target="https://www.ilo.org/media/269841/download" TargetMode="External" /><Relationship Type="http://schemas.openxmlformats.org/officeDocument/2006/relationships/hyperlink" Id="rId25" Target="https://wwwcdn.imo.org/localresources/en/OurWork/Safety/Documents/MSC.1-Circ.960%20-%20Medical%20Assistance%20At%20Sea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eur-lex.europa.eu/eli/reg/2016/679/oj" TargetMode="External" /><Relationship Type="http://schemas.openxmlformats.org/officeDocument/2006/relationships/hyperlink" Id="rId28" Target="https://ico.org.uk/for-organisations/uk-gdpr-guidance-and-resources/accountability-and-governance/contracts-and-liabilities-between-controllers-and-processors-multi/what-needs-to-be-included-in-the-contract/" TargetMode="External" /><Relationship Type="http://schemas.openxmlformats.org/officeDocument/2006/relationships/hyperlink" Id="rId30" Target="https://www.edpb.europa.eu/documents/guideline/guidelines-072020-on-the-concepts-of-controller-and-processor-in-the-gdpr_en" TargetMode="External" /><Relationship Type="http://schemas.openxmlformats.org/officeDocument/2006/relationships/hyperlink" Id="rId31" Target="https://www.england.nhs.uk/long-read/national-review-of-clinical-risk-management-standardsdcb0129-and-dcb0160-supporting-information/" TargetMode="External" /><Relationship Type="http://schemas.openxmlformats.org/officeDocument/2006/relationships/hyperlink" Id="rId26" Target="https://www.gov.uk/government/collections/model-services-contract" TargetMode="External" /><Relationship Type="http://schemas.openxmlformats.org/officeDocument/2006/relationships/hyperlink" Id="rId27" Target="https://www.gov.uk/government/publications/the-sourcing-and-consultancy-playbooks/risk-allocation-and-pricing-approaches-guidance-note-html" TargetMode="External" /><Relationship Type="http://schemas.openxmlformats.org/officeDocument/2006/relationships/hyperlink" Id="rId24" Target="https://www.ilo.org/media/269841/download" TargetMode="External" /><Relationship Type="http://schemas.openxmlformats.org/officeDocument/2006/relationships/hyperlink" Id="rId25" Target="https://wwwcdn.imo.org/localresources/en/OurWork/Safety/Documents/MSC.1-Circ.960%20-%20Medical%20Assistance%20At%20Sea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Offshore Telemedicine SLA Checklist</dc:title>
  <dc:creator>Alvyri Crew</dc:creator>
  <dc:language>en-GB</dc:language>
  <cp:keywords/>
  <dcterms:created xsi:type="dcterms:W3CDTF">2026-07-24T19:06:05Z</dcterms:created>
  <dcterms:modified xsi:type="dcterms:W3CDTF">2026-07-24T19:06:05Z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Draft — July 2026</vt:lpwstr>
  </property>
  <property fmtid="{D5CDD505-2E9C-101B-9397-08002B2CF9AE}" pid="3" name="subtitle">
    <vt:lpwstr>Buyer worksheet for offshore wind and maritime medical support</vt:lpwstr>
  </property>
</Properties>
</file>